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numPr>
          <w:ilvl w:val="0"/>
          <w:numId w:val="2"/>
        </w:numPr>
        <w:rPr>
          <w:sz w:val="24"/>
          <w:szCs w:val="24"/>
        </w:rPr>
      </w:pPr>
      <w:r>
        <w:rPr>
          <w:rFonts w:hint="eastAsia"/>
          <w:sz w:val="24"/>
          <w:szCs w:val="24"/>
        </w:rPr>
        <w:t>金蝶中间件</w:t>
      </w:r>
      <w:bookmarkStart w:id="0" w:name="_GoBack"/>
      <w:bookmarkEnd w:id="0"/>
    </w:p>
    <w:tbl>
      <w:tblPr>
        <w:tblStyle w:val="4"/>
        <w:tblW w:w="10986" w:type="dxa"/>
        <w:jc w:val="center"/>
        <w:tblBorders>
          <w:top w:val="single" w:color="auto" w:sz="4" w:space="0"/>
          <w:left w:val="single" w:color="000000" w:sz="0" w:space="0"/>
          <w:bottom w:val="single" w:color="auto" w:sz="4"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1135"/>
        <w:gridCol w:w="1559"/>
        <w:gridCol w:w="2694"/>
        <w:gridCol w:w="2045"/>
        <w:gridCol w:w="1083"/>
        <w:gridCol w:w="2470"/>
      </w:tblGrid>
      <w:tr>
        <w:tblPrEx>
          <w:tblBorders>
            <w:top w:val="single" w:color="auto" w:sz="4" w:space="0"/>
            <w:left w:val="single" w:color="000000" w:sz="0" w:space="0"/>
            <w:bottom w:val="single" w:color="auto" w:sz="4"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blHeader/>
          <w:jc w:val="center"/>
        </w:trPr>
        <w:tc>
          <w:tcPr>
            <w:tcW w:w="1135" w:type="dxa"/>
            <w:shd w:val="clear" w:color="auto" w:fill="A5A5A5" w:themeFill="background1" w:themeFillShade="A6"/>
            <w:vAlign w:val="center"/>
          </w:tcPr>
          <w:p>
            <w:pPr>
              <w:tabs>
                <w:tab w:val="left" w:pos="180"/>
              </w:tabs>
              <w:jc w:val="center"/>
              <w:rPr>
                <w:b/>
                <w:color w:val="000000"/>
                <w:sz w:val="21"/>
                <w:szCs w:val="21"/>
              </w:rPr>
            </w:pPr>
            <w:r>
              <w:rPr>
                <w:rFonts w:hint="eastAsia"/>
                <w:b/>
                <w:color w:val="000000"/>
                <w:sz w:val="21"/>
                <w:szCs w:val="21"/>
              </w:rPr>
              <w:t>控制点</w:t>
            </w:r>
          </w:p>
        </w:tc>
        <w:tc>
          <w:tcPr>
            <w:tcW w:w="1559" w:type="dxa"/>
            <w:shd w:val="clear" w:color="auto" w:fill="A5A5A5" w:themeFill="background1" w:themeFillShade="A6"/>
            <w:vAlign w:val="center"/>
          </w:tcPr>
          <w:p>
            <w:pPr>
              <w:tabs>
                <w:tab w:val="left" w:pos="180"/>
              </w:tabs>
              <w:jc w:val="center"/>
              <w:rPr>
                <w:b/>
                <w:color w:val="000000"/>
                <w:sz w:val="21"/>
                <w:szCs w:val="21"/>
              </w:rPr>
            </w:pPr>
            <w:r>
              <w:rPr>
                <w:rFonts w:hint="eastAsia"/>
                <w:b/>
                <w:color w:val="000000"/>
                <w:sz w:val="21"/>
                <w:szCs w:val="21"/>
              </w:rPr>
              <w:t>测评项</w:t>
            </w:r>
          </w:p>
        </w:tc>
        <w:tc>
          <w:tcPr>
            <w:tcW w:w="2694" w:type="dxa"/>
            <w:shd w:val="clear" w:color="auto" w:fill="A5A5A5" w:themeFill="background1" w:themeFillShade="A6"/>
            <w:vAlign w:val="center"/>
          </w:tcPr>
          <w:p>
            <w:pPr>
              <w:tabs>
                <w:tab w:val="left" w:pos="180"/>
              </w:tabs>
              <w:jc w:val="center"/>
              <w:rPr>
                <w:b/>
                <w:color w:val="000000"/>
                <w:sz w:val="21"/>
                <w:szCs w:val="21"/>
              </w:rPr>
            </w:pPr>
            <w:r>
              <w:rPr>
                <w:rFonts w:hint="eastAsia"/>
                <w:b/>
                <w:color w:val="000000"/>
                <w:sz w:val="21"/>
                <w:szCs w:val="21"/>
              </w:rPr>
              <w:t>结果记录</w:t>
            </w:r>
          </w:p>
        </w:tc>
        <w:tc>
          <w:tcPr>
            <w:tcW w:w="2045" w:type="dxa"/>
            <w:shd w:val="clear" w:color="auto" w:fill="A5A5A5" w:themeFill="background1" w:themeFillShade="A6"/>
            <w:vAlign w:val="center"/>
          </w:tcPr>
          <w:p>
            <w:pPr>
              <w:tabs>
                <w:tab w:val="left" w:pos="180"/>
              </w:tabs>
              <w:jc w:val="center"/>
              <w:rPr>
                <w:b/>
                <w:color w:val="000000"/>
                <w:sz w:val="21"/>
                <w:szCs w:val="21"/>
              </w:rPr>
            </w:pPr>
            <w:r>
              <w:rPr>
                <w:rFonts w:hint="eastAsia"/>
                <w:b/>
                <w:color w:val="000000"/>
                <w:sz w:val="21"/>
                <w:szCs w:val="21"/>
              </w:rPr>
              <w:t>整改建议</w:t>
            </w:r>
          </w:p>
        </w:tc>
        <w:tc>
          <w:tcPr>
            <w:tcW w:w="1083" w:type="dxa"/>
            <w:shd w:val="clear" w:color="auto" w:fill="A5A5A5" w:themeFill="background1" w:themeFillShade="A6"/>
            <w:vAlign w:val="center"/>
          </w:tcPr>
          <w:p>
            <w:pPr>
              <w:tabs>
                <w:tab w:val="left" w:pos="180"/>
              </w:tabs>
              <w:jc w:val="center"/>
              <w:rPr>
                <w:b/>
                <w:color w:val="000000"/>
                <w:sz w:val="21"/>
                <w:szCs w:val="21"/>
              </w:rPr>
            </w:pPr>
            <w:r>
              <w:rPr>
                <w:rFonts w:hint="eastAsia"/>
                <w:b/>
                <w:color w:val="000000"/>
                <w:sz w:val="21"/>
                <w:szCs w:val="21"/>
              </w:rPr>
              <w:t>备注</w:t>
            </w:r>
          </w:p>
        </w:tc>
        <w:tc>
          <w:tcPr>
            <w:tcW w:w="2470" w:type="dxa"/>
            <w:shd w:val="clear" w:color="auto" w:fill="A5A5A5" w:themeFill="background1" w:themeFillShade="A6"/>
            <w:vAlign w:val="center"/>
          </w:tcPr>
          <w:p>
            <w:pPr>
              <w:tabs>
                <w:tab w:val="left" w:pos="180"/>
                <w:tab w:val="left" w:pos="566"/>
              </w:tabs>
              <w:jc w:val="left"/>
              <w:rPr>
                <w:rFonts w:hint="default" w:eastAsia="华文仿宋"/>
                <w:b/>
                <w:color w:val="000000"/>
                <w:sz w:val="21"/>
                <w:szCs w:val="21"/>
                <w:lang w:val="en-US" w:eastAsia="zh-CN"/>
              </w:rPr>
            </w:pPr>
            <w:r>
              <w:rPr>
                <w:rFonts w:hint="eastAsia"/>
                <w:b/>
                <w:color w:val="000000"/>
                <w:sz w:val="21"/>
                <w:szCs w:val="21"/>
                <w:lang w:eastAsia="zh-CN"/>
              </w:rPr>
              <w:tab/>
            </w:r>
            <w:r>
              <w:rPr>
                <w:rFonts w:hint="eastAsia"/>
                <w:b/>
                <w:color w:val="000000"/>
                <w:sz w:val="21"/>
                <w:szCs w:val="21"/>
                <w:lang w:eastAsia="zh-CN"/>
              </w:rPr>
              <w:tab/>
            </w:r>
            <w:r>
              <w:rPr>
                <w:rFonts w:hint="eastAsia"/>
                <w:b/>
                <w:color w:val="000000"/>
                <w:sz w:val="21"/>
                <w:szCs w:val="21"/>
                <w:lang w:val="en-US" w:eastAsia="zh-CN"/>
              </w:rPr>
              <w:t>整改说明</w:t>
            </w:r>
          </w:p>
        </w:tc>
      </w:tr>
      <w:tr>
        <w:tblPrEx>
          <w:tblBorders>
            <w:top w:val="single" w:color="auto" w:sz="4" w:space="0"/>
            <w:left w:val="single" w:color="000000" w:sz="0" w:space="0"/>
            <w:bottom w:val="single" w:color="auto" w:sz="4"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135" w:type="dxa"/>
            <w:vAlign w:val="center"/>
          </w:tcPr>
          <w:p>
            <w:pPr>
              <w:spacing w:line="240" w:lineRule="auto"/>
              <w:jc w:val="center"/>
            </w:pPr>
            <w:r>
              <w:rPr>
                <w:sz w:val="20"/>
              </w:rPr>
              <w:t>身份鉴别</w:t>
            </w:r>
          </w:p>
        </w:tc>
        <w:tc>
          <w:tcPr>
            <w:tcW w:w="1559" w:type="dxa"/>
            <w:vAlign w:val="center"/>
          </w:tcPr>
          <w:p>
            <w:pPr>
              <w:spacing w:line="240" w:lineRule="auto"/>
              <w:jc w:val="left"/>
            </w:pPr>
            <w:r>
              <w:rPr>
                <w:sz w:val="20"/>
              </w:rPr>
              <w:t>a) 应对登录的用户进行身份标识和鉴别，身份标识具有唯一性，身份鉴别信息具有复杂度要求并定期更换；</w:t>
            </w:r>
          </w:p>
        </w:tc>
        <w:tc>
          <w:tcPr>
            <w:tcW w:w="2694" w:type="dxa"/>
          </w:tcPr>
          <w:p>
            <w:pPr>
              <w:spacing w:line="240" w:lineRule="auto"/>
              <w:jc w:val="left"/>
              <w:rPr>
                <w:sz w:val="20"/>
              </w:rPr>
            </w:pPr>
            <w:r>
              <w:rPr>
                <w:rFonts w:hint="eastAsia"/>
                <w:sz w:val="20"/>
              </w:rPr>
              <w:t>1、用户登录中间件管理控制台需要使用账户名和口令；2、用户身份标识唯一，不能新建同名账户；3、未配置口令复杂度检查功能和口令过期更换时间；4、当前账户口令长度均至少8位，包含数字、字母和特殊字符。</w:t>
            </w:r>
          </w:p>
        </w:tc>
        <w:tc>
          <w:tcPr>
            <w:tcW w:w="2045" w:type="dxa"/>
          </w:tcPr>
          <w:p>
            <w:pPr>
              <w:spacing w:line="240" w:lineRule="auto"/>
              <w:jc w:val="left"/>
              <w:rPr>
                <w:sz w:val="20"/>
              </w:rPr>
            </w:pPr>
            <w:r>
              <w:rPr>
                <w:rFonts w:hint="eastAsia"/>
                <w:sz w:val="20"/>
              </w:rPr>
              <w:t>建议中间件配置口令复杂度检查功能和口令过期更换时间，如用户设置口令时强制要求口令最小长度为8位，字符策略为至少包含1个字母、1个数字和1个特殊字符，设置口令过期更换时间为90天。</w:t>
            </w:r>
          </w:p>
        </w:tc>
        <w:tc>
          <w:tcPr>
            <w:tcW w:w="1083" w:type="dxa"/>
          </w:tcPr>
          <w:p>
            <w:pPr>
              <w:spacing w:line="240" w:lineRule="auto"/>
              <w:jc w:val="center"/>
              <w:rPr>
                <w:sz w:val="20"/>
              </w:rPr>
            </w:pPr>
            <w:r>
              <w:rPr>
                <w:rFonts w:hint="eastAsia"/>
                <w:sz w:val="20"/>
              </w:rPr>
              <w:t>高风险</w:t>
            </w:r>
          </w:p>
        </w:tc>
        <w:tc>
          <w:tcPr>
            <w:tcW w:w="2470" w:type="dxa"/>
          </w:tcPr>
          <w:p>
            <w:pPr>
              <w:numPr>
                <w:ilvl w:val="0"/>
                <w:numId w:val="0"/>
              </w:numPr>
              <w:spacing w:line="240" w:lineRule="auto"/>
              <w:jc w:val="both"/>
            </w:pPr>
            <w:r>
              <w:rPr>
                <w:rFonts w:hint="eastAsia"/>
                <w:sz w:val="20"/>
                <w:lang w:val="en-US" w:eastAsia="zh-CN"/>
              </w:rPr>
              <w:t>1）secure用户登录金蝶管控(密码XXX )，点击“系统管理”，默认密码长度时8位，无须修改；密码复杂度选择“复杂”，即口令必须包含字母、数字和特殊字符。</w:t>
            </w:r>
          </w:p>
          <w:p>
            <w:pPr>
              <w:numPr>
                <w:ilvl w:val="0"/>
                <w:numId w:val="0"/>
              </w:numPr>
              <w:spacing w:line="240" w:lineRule="auto"/>
              <w:jc w:val="both"/>
              <w:rPr>
                <w:rFonts w:hint="eastAsia"/>
                <w:sz w:val="20"/>
                <w:lang w:val="en-US" w:eastAsia="zh-CN"/>
              </w:rPr>
            </w:pPr>
            <w:r>
              <w:rPr>
                <w:rFonts w:hint="eastAsia"/>
                <w:sz w:val="20"/>
                <w:lang w:val="en-US" w:eastAsia="zh-CN"/>
              </w:rPr>
              <w:t>2）密码有效天数默认是30天，改为90天</w:t>
            </w:r>
          </w:p>
          <w:p>
            <w:pPr>
              <w:numPr>
                <w:ilvl w:val="0"/>
                <w:numId w:val="0"/>
              </w:numPr>
              <w:spacing w:line="240" w:lineRule="auto"/>
              <w:jc w:val="both"/>
              <w:rPr>
                <w:rFonts w:hint="eastAsia"/>
                <w:sz w:val="20"/>
                <w:lang w:val="en-US" w:eastAsia="zh-CN"/>
              </w:rPr>
            </w:pPr>
            <w:r>
              <w:rPr>
                <w:rFonts w:hint="eastAsia"/>
                <w:sz w:val="20"/>
                <w:lang w:val="en-US" w:eastAsia="zh-CN"/>
              </w:rPr>
              <w:t>3）点击保存按钮</w:t>
            </w:r>
          </w:p>
          <w:p>
            <w:pPr>
              <w:numPr>
                <w:ilvl w:val="0"/>
                <w:numId w:val="0"/>
              </w:numPr>
              <w:spacing w:line="240" w:lineRule="auto"/>
              <w:jc w:val="both"/>
              <w:rPr>
                <w:rFonts w:hint="eastAsia"/>
                <w:lang w:val="en-US" w:eastAsia="zh-CN"/>
              </w:rPr>
            </w:pPr>
            <w:r>
              <w:drawing>
                <wp:inline distT="0" distB="0" distL="114300" distR="114300">
                  <wp:extent cx="1185545" cy="739140"/>
                  <wp:effectExtent l="0" t="0" r="190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1185545" cy="739140"/>
                          </a:xfrm>
                          <a:prstGeom prst="rect">
                            <a:avLst/>
                          </a:prstGeom>
                          <a:noFill/>
                          <a:ln>
                            <a:noFill/>
                          </a:ln>
                        </pic:spPr>
                      </pic:pic>
                    </a:graphicData>
                  </a:graphic>
                </wp:inline>
              </w:drawing>
            </w:r>
          </w:p>
          <w:p>
            <w:pPr>
              <w:numPr>
                <w:ilvl w:val="0"/>
                <w:numId w:val="0"/>
              </w:numPr>
              <w:spacing w:line="240" w:lineRule="auto"/>
              <w:jc w:val="both"/>
              <w:rPr>
                <w:rFonts w:hint="default"/>
                <w:sz w:val="20"/>
                <w:lang w:val="en-US" w:eastAsia="zh-CN"/>
              </w:rPr>
            </w:pPr>
          </w:p>
        </w:tc>
      </w:tr>
      <w:tr>
        <w:tblPrEx>
          <w:tblBorders>
            <w:top w:val="single" w:color="auto" w:sz="4" w:space="0"/>
            <w:left w:val="single" w:color="000000" w:sz="0" w:space="0"/>
            <w:bottom w:val="single" w:color="auto" w:sz="4"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90" w:hRule="atLeast"/>
          <w:jc w:val="center"/>
        </w:trPr>
        <w:tc>
          <w:tcPr>
            <w:tcW w:w="1135" w:type="dxa"/>
            <w:vAlign w:val="center"/>
          </w:tcPr>
          <w:p>
            <w:pPr>
              <w:spacing w:line="240" w:lineRule="auto"/>
              <w:jc w:val="center"/>
            </w:pPr>
            <w:r>
              <w:rPr>
                <w:sz w:val="20"/>
              </w:rPr>
              <w:t>身份鉴别</w:t>
            </w:r>
          </w:p>
        </w:tc>
        <w:tc>
          <w:tcPr>
            <w:tcW w:w="1559" w:type="dxa"/>
            <w:vAlign w:val="center"/>
          </w:tcPr>
          <w:p>
            <w:pPr>
              <w:spacing w:line="240" w:lineRule="auto"/>
              <w:jc w:val="left"/>
            </w:pPr>
            <w:r>
              <w:rPr>
                <w:sz w:val="20"/>
              </w:rPr>
              <w:t>b) 应具有登录失败处理功能，应配置并启用结束会话、限制非法登录次数和当登录连接超时自动退出等相关措施；</w:t>
            </w:r>
          </w:p>
        </w:tc>
        <w:tc>
          <w:tcPr>
            <w:tcW w:w="2694" w:type="dxa"/>
          </w:tcPr>
          <w:p>
            <w:pPr>
              <w:spacing w:line="240" w:lineRule="auto"/>
              <w:jc w:val="left"/>
              <w:rPr>
                <w:sz w:val="20"/>
              </w:rPr>
            </w:pPr>
            <w:r>
              <w:rPr>
                <w:rFonts w:hint="eastAsia"/>
                <w:sz w:val="20"/>
              </w:rPr>
              <w:t>未配置登录失败处理功能，未配置登录连接超时自动退出时间。</w:t>
            </w:r>
          </w:p>
        </w:tc>
        <w:tc>
          <w:tcPr>
            <w:tcW w:w="2045" w:type="dxa"/>
          </w:tcPr>
          <w:p>
            <w:pPr>
              <w:spacing w:line="240" w:lineRule="auto"/>
              <w:jc w:val="left"/>
              <w:rPr>
                <w:sz w:val="20"/>
              </w:rPr>
            </w:pPr>
            <w:r>
              <w:rPr>
                <w:rFonts w:hint="eastAsia"/>
                <w:sz w:val="20"/>
              </w:rPr>
              <w:t>建议中间件配置登录失败处理功能，如设置连续登录失败5次锁定账户15分钟；配置登录连接超时自动退出时间为15分钟。</w:t>
            </w:r>
          </w:p>
        </w:tc>
        <w:tc>
          <w:tcPr>
            <w:tcW w:w="1083" w:type="dxa"/>
          </w:tcPr>
          <w:p>
            <w:pPr>
              <w:spacing w:line="240" w:lineRule="auto"/>
              <w:jc w:val="center"/>
              <w:rPr>
                <w:sz w:val="20"/>
              </w:rPr>
            </w:pPr>
            <w:r>
              <w:rPr>
                <w:rFonts w:hint="eastAsia"/>
                <w:sz w:val="20"/>
              </w:rPr>
              <w:t>高风险</w:t>
            </w:r>
          </w:p>
        </w:tc>
        <w:tc>
          <w:tcPr>
            <w:tcW w:w="2470" w:type="dxa"/>
          </w:tcPr>
          <w:p>
            <w:pPr>
              <w:numPr>
                <w:ilvl w:val="0"/>
                <w:numId w:val="3"/>
              </w:numPr>
              <w:spacing w:line="240" w:lineRule="auto"/>
              <w:jc w:val="both"/>
              <w:rPr>
                <w:rFonts w:hint="eastAsia"/>
                <w:sz w:val="20"/>
                <w:lang w:val="en-US" w:eastAsia="zh-CN"/>
              </w:rPr>
            </w:pPr>
            <w:r>
              <w:rPr>
                <w:rFonts w:hint="eastAsia"/>
                <w:sz w:val="20"/>
                <w:lang w:val="en-US" w:eastAsia="zh-CN"/>
              </w:rPr>
              <w:t>可以使用secure用户（密码XXX）登录，点击“系统管理”，查看：密码重试次数默认为5；用户锁定时间为默认15分钟。管控平台默认会话有效时间默认是30分钟，secure用户登录后，将会话有效时间改为900秒（15分钟），2) admin用户登录（密码XXX），点击“域”-“应用程序配置”-“管理会话超时”，设置时间为15分钟</w:t>
            </w:r>
          </w:p>
          <w:p>
            <w:pPr>
              <w:numPr>
                <w:ilvl w:val="0"/>
                <w:numId w:val="0"/>
              </w:numPr>
              <w:tabs>
                <w:tab w:val="left" w:pos="235"/>
              </w:tabs>
              <w:spacing w:line="240" w:lineRule="auto"/>
              <w:jc w:val="both"/>
            </w:pPr>
            <w:r>
              <w:drawing>
                <wp:inline distT="0" distB="0" distL="114300" distR="114300">
                  <wp:extent cx="1424305" cy="375920"/>
                  <wp:effectExtent l="0" t="0" r="635" b="190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5"/>
                          <a:srcRect b="38716"/>
                          <a:stretch>
                            <a:fillRect/>
                          </a:stretch>
                        </pic:blipFill>
                        <pic:spPr>
                          <a:xfrm>
                            <a:off x="0" y="0"/>
                            <a:ext cx="1424305" cy="375920"/>
                          </a:xfrm>
                          <a:prstGeom prst="rect">
                            <a:avLst/>
                          </a:prstGeom>
                          <a:noFill/>
                          <a:ln>
                            <a:noFill/>
                          </a:ln>
                        </pic:spPr>
                      </pic:pic>
                    </a:graphicData>
                  </a:graphic>
                </wp:inline>
              </w:drawing>
            </w:r>
          </w:p>
          <w:p>
            <w:pPr>
              <w:numPr>
                <w:ilvl w:val="0"/>
                <w:numId w:val="0"/>
              </w:numPr>
              <w:tabs>
                <w:tab w:val="left" w:pos="235"/>
              </w:tabs>
              <w:spacing w:line="240" w:lineRule="auto"/>
              <w:jc w:val="both"/>
              <w:rPr>
                <w:rFonts w:hint="default"/>
                <w:sz w:val="20"/>
                <w:lang w:val="en-US" w:eastAsia="zh-CN"/>
              </w:rPr>
            </w:pPr>
            <w:r>
              <w:drawing>
                <wp:inline distT="0" distB="0" distL="114300" distR="114300">
                  <wp:extent cx="1417955" cy="484505"/>
                  <wp:effectExtent l="0" t="0" r="6985" b="127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1417955" cy="484505"/>
                          </a:xfrm>
                          <a:prstGeom prst="rect">
                            <a:avLst/>
                          </a:prstGeom>
                          <a:noFill/>
                          <a:ln>
                            <a:noFill/>
                          </a:ln>
                        </pic:spPr>
                      </pic:pic>
                    </a:graphicData>
                  </a:graphic>
                </wp:inline>
              </w:drawing>
            </w:r>
          </w:p>
          <w:p>
            <w:pPr>
              <w:numPr>
                <w:numId w:val="0"/>
              </w:numPr>
              <w:spacing w:line="240" w:lineRule="auto"/>
              <w:jc w:val="both"/>
              <w:rPr>
                <w:rFonts w:hint="eastAsia"/>
                <w:sz w:val="20"/>
                <w:lang w:val="en-US" w:eastAsia="zh-CN"/>
              </w:rPr>
            </w:pPr>
            <w:r>
              <w:rPr>
                <w:rFonts w:hint="eastAsia"/>
                <w:sz w:val="20"/>
                <w:lang w:val="en-US" w:eastAsia="zh-CN"/>
              </w:rPr>
              <w:t>3）可以连续5次输入错误密码，验证是否锁定15分钟。</w:t>
            </w:r>
          </w:p>
          <w:p>
            <w:pPr>
              <w:numPr>
                <w:ilvl w:val="0"/>
                <w:numId w:val="0"/>
              </w:numPr>
              <w:spacing w:line="240" w:lineRule="auto"/>
              <w:ind w:leftChars="0"/>
              <w:jc w:val="both"/>
            </w:pPr>
            <w:r>
              <w:drawing>
                <wp:inline distT="0" distB="0" distL="114300" distR="114300">
                  <wp:extent cx="1070610" cy="562610"/>
                  <wp:effectExtent l="0" t="0" r="889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rcRect t="7322"/>
                          <a:stretch>
                            <a:fillRect/>
                          </a:stretch>
                        </pic:blipFill>
                        <pic:spPr>
                          <a:xfrm>
                            <a:off x="0" y="0"/>
                            <a:ext cx="1070610" cy="562610"/>
                          </a:xfrm>
                          <a:prstGeom prst="rect">
                            <a:avLst/>
                          </a:prstGeom>
                          <a:noFill/>
                          <a:ln>
                            <a:noFill/>
                          </a:ln>
                        </pic:spPr>
                      </pic:pic>
                    </a:graphicData>
                  </a:graphic>
                </wp:inline>
              </w:drawing>
            </w:r>
          </w:p>
          <w:p>
            <w:pPr>
              <w:numPr>
                <w:ilvl w:val="0"/>
                <w:numId w:val="0"/>
              </w:numPr>
              <w:spacing w:line="240" w:lineRule="auto"/>
              <w:ind w:leftChars="0"/>
              <w:jc w:val="both"/>
              <w:rPr>
                <w:rFonts w:hint="default" w:eastAsia="华文仿宋"/>
                <w:lang w:val="en-US" w:eastAsia="zh-CN"/>
              </w:rPr>
            </w:pPr>
            <w:r>
              <w:rPr>
                <w:rFonts w:hint="eastAsia"/>
                <w:sz w:val="20"/>
                <w:lang w:val="en-US" w:eastAsia="zh-CN"/>
              </w:rPr>
              <w:t>4）持续15分钟不操作，15分钟后刷新下退出需要登录。</w:t>
            </w:r>
          </w:p>
        </w:tc>
      </w:tr>
      <w:tr>
        <w:tblPrEx>
          <w:tblBorders>
            <w:top w:val="single" w:color="auto" w:sz="4" w:space="0"/>
            <w:left w:val="single" w:color="000000" w:sz="0" w:space="0"/>
            <w:bottom w:val="single" w:color="auto" w:sz="4"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135" w:type="dxa"/>
            <w:vAlign w:val="center"/>
          </w:tcPr>
          <w:p>
            <w:pPr>
              <w:spacing w:line="240" w:lineRule="auto"/>
              <w:jc w:val="center"/>
            </w:pPr>
            <w:r>
              <w:rPr>
                <w:sz w:val="20"/>
              </w:rPr>
              <w:t>身份鉴别</w:t>
            </w:r>
          </w:p>
        </w:tc>
        <w:tc>
          <w:tcPr>
            <w:tcW w:w="1559" w:type="dxa"/>
            <w:vAlign w:val="center"/>
          </w:tcPr>
          <w:p>
            <w:pPr>
              <w:spacing w:line="240" w:lineRule="auto"/>
              <w:jc w:val="left"/>
            </w:pPr>
            <w:r>
              <w:rPr>
                <w:sz w:val="20"/>
              </w:rPr>
              <w:t>d) 应采用口令、密码技术、生物技术等两种或两种以上组合的鉴别技术对用户进行身份鉴别，且其中一种鉴别技术至少应使用密码技术来实现。</w:t>
            </w:r>
          </w:p>
        </w:tc>
        <w:tc>
          <w:tcPr>
            <w:tcW w:w="2694" w:type="dxa"/>
          </w:tcPr>
          <w:p>
            <w:pPr>
              <w:spacing w:line="240" w:lineRule="auto"/>
              <w:jc w:val="left"/>
              <w:rPr>
                <w:sz w:val="20"/>
              </w:rPr>
            </w:pPr>
            <w:r>
              <w:rPr>
                <w:rFonts w:hint="eastAsia"/>
                <w:sz w:val="20"/>
              </w:rPr>
              <w:t>中间件未采用两种或两种以上鉴别技术对用户身份进行鉴别。</w:t>
            </w:r>
          </w:p>
        </w:tc>
        <w:tc>
          <w:tcPr>
            <w:tcW w:w="2045" w:type="dxa"/>
          </w:tcPr>
          <w:p>
            <w:pPr>
              <w:spacing w:line="240" w:lineRule="auto"/>
              <w:jc w:val="left"/>
              <w:rPr>
                <w:sz w:val="20"/>
              </w:rPr>
            </w:pPr>
            <w:r>
              <w:rPr>
                <w:rFonts w:hint="eastAsia"/>
                <w:sz w:val="20"/>
              </w:rPr>
              <w:t>建议对中间件采用两种或两种以上组合的鉴别技术实现用户身份鉴别，如口令、数字证书、Ukey、令牌、指纹等，其中至少一种鉴别技术应使用密码技术实现。</w:t>
            </w:r>
          </w:p>
        </w:tc>
        <w:tc>
          <w:tcPr>
            <w:tcW w:w="1083" w:type="dxa"/>
          </w:tcPr>
          <w:p>
            <w:pPr>
              <w:spacing w:line="240" w:lineRule="auto"/>
              <w:jc w:val="center"/>
              <w:rPr>
                <w:sz w:val="20"/>
              </w:rPr>
            </w:pPr>
            <w:r>
              <w:rPr>
                <w:rFonts w:hint="eastAsia"/>
                <w:sz w:val="20"/>
              </w:rPr>
              <w:t>中风险</w:t>
            </w:r>
          </w:p>
          <w:p>
            <w:pPr>
              <w:spacing w:line="240" w:lineRule="auto"/>
              <w:jc w:val="center"/>
              <w:rPr>
                <w:sz w:val="20"/>
              </w:rPr>
            </w:pPr>
            <w:r>
              <w:rPr>
                <w:rFonts w:hint="eastAsia"/>
                <w:sz w:val="20"/>
              </w:rPr>
              <w:t>建议整改</w:t>
            </w:r>
          </w:p>
        </w:tc>
        <w:tc>
          <w:tcPr>
            <w:tcW w:w="2470" w:type="dxa"/>
          </w:tcPr>
          <w:p>
            <w:pPr>
              <w:numPr>
                <w:ilvl w:val="0"/>
                <w:numId w:val="0"/>
              </w:numPr>
              <w:spacing w:line="240" w:lineRule="auto"/>
              <w:jc w:val="both"/>
            </w:pPr>
            <w:r>
              <w:rPr>
                <w:rFonts w:hint="eastAsia"/>
                <w:sz w:val="20"/>
                <w:lang w:val="en-US" w:eastAsia="zh-CN"/>
              </w:rPr>
              <w:t>金蝶中间件管控采用的是口令</w:t>
            </w:r>
            <w:r>
              <w:rPr>
                <w:rFonts w:hint="eastAsia"/>
                <w:sz w:val="20"/>
              </w:rPr>
              <w:t>鉴别技术</w:t>
            </w:r>
            <w:r>
              <w:rPr>
                <w:rFonts w:hint="eastAsia"/>
                <w:sz w:val="20"/>
                <w:lang w:val="en-US" w:eastAsia="zh-CN"/>
              </w:rPr>
              <w:t>+验证码</w:t>
            </w:r>
            <w:r>
              <w:rPr>
                <w:rFonts w:hint="eastAsia"/>
                <w:sz w:val="20"/>
              </w:rPr>
              <w:t>实现用户身份鉴别</w:t>
            </w:r>
            <w:r>
              <w:rPr>
                <w:rFonts w:hint="eastAsia"/>
                <w:sz w:val="20"/>
                <w:lang w:eastAsia="zh-CN"/>
              </w:rPr>
              <w:t>。</w:t>
            </w:r>
            <w:r>
              <w:rPr>
                <w:rFonts w:hint="eastAsia"/>
                <w:color w:val="FF0000"/>
                <w:sz w:val="20"/>
                <w:lang w:val="en-US" w:eastAsia="zh-CN"/>
              </w:rPr>
              <w:t>是否可以，需要测评人员确认下。</w:t>
            </w:r>
          </w:p>
          <w:p>
            <w:pPr>
              <w:numPr>
                <w:ilvl w:val="0"/>
                <w:numId w:val="0"/>
              </w:numPr>
              <w:spacing w:line="240" w:lineRule="auto"/>
              <w:jc w:val="both"/>
              <w:rPr>
                <w:rFonts w:hint="default"/>
                <w:sz w:val="20"/>
                <w:lang w:val="en-US" w:eastAsia="zh-CN"/>
              </w:rPr>
            </w:pPr>
            <w:r>
              <w:drawing>
                <wp:inline distT="0" distB="0" distL="114300" distR="114300">
                  <wp:extent cx="1182370" cy="678815"/>
                  <wp:effectExtent l="0" t="0" r="508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1182370" cy="678815"/>
                          </a:xfrm>
                          <a:prstGeom prst="rect">
                            <a:avLst/>
                          </a:prstGeom>
                          <a:noFill/>
                          <a:ln>
                            <a:noFill/>
                          </a:ln>
                        </pic:spPr>
                      </pic:pic>
                    </a:graphicData>
                  </a:graphic>
                </wp:inline>
              </w:drawing>
            </w:r>
          </w:p>
        </w:tc>
      </w:tr>
      <w:tr>
        <w:tblPrEx>
          <w:tblBorders>
            <w:top w:val="single" w:color="auto" w:sz="4" w:space="0"/>
            <w:left w:val="single" w:color="000000" w:sz="0" w:space="0"/>
            <w:bottom w:val="single" w:color="auto" w:sz="4"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135" w:type="dxa"/>
            <w:vAlign w:val="center"/>
          </w:tcPr>
          <w:p>
            <w:pPr>
              <w:spacing w:line="240" w:lineRule="auto"/>
              <w:jc w:val="center"/>
            </w:pPr>
            <w:r>
              <w:rPr>
                <w:sz w:val="20"/>
              </w:rPr>
              <w:t>访问控制</w:t>
            </w:r>
          </w:p>
        </w:tc>
        <w:tc>
          <w:tcPr>
            <w:tcW w:w="1559" w:type="dxa"/>
            <w:vAlign w:val="center"/>
          </w:tcPr>
          <w:p>
            <w:pPr>
              <w:spacing w:line="240" w:lineRule="auto"/>
              <w:jc w:val="left"/>
            </w:pPr>
            <w:r>
              <w:rPr>
                <w:sz w:val="20"/>
              </w:rPr>
              <w:t>b) 应重命名或删除默认账户，修改默认账户的默认口令；</w:t>
            </w:r>
          </w:p>
        </w:tc>
        <w:tc>
          <w:tcPr>
            <w:tcW w:w="2694" w:type="dxa"/>
          </w:tcPr>
          <w:p>
            <w:pPr>
              <w:spacing w:line="240" w:lineRule="auto"/>
              <w:jc w:val="left"/>
              <w:rPr>
                <w:sz w:val="20"/>
              </w:rPr>
            </w:pPr>
            <w:r>
              <w:rPr>
                <w:rFonts w:hint="eastAsia"/>
                <w:sz w:val="20"/>
              </w:rPr>
              <w:t>未重命名或删除默认账户admin，已修改默认账户的默认口令。</w:t>
            </w:r>
          </w:p>
        </w:tc>
        <w:tc>
          <w:tcPr>
            <w:tcW w:w="2045" w:type="dxa"/>
          </w:tcPr>
          <w:p>
            <w:pPr>
              <w:spacing w:line="240" w:lineRule="auto"/>
              <w:jc w:val="left"/>
              <w:rPr>
                <w:sz w:val="20"/>
              </w:rPr>
            </w:pPr>
            <w:r>
              <w:rPr>
                <w:rFonts w:hint="eastAsia"/>
                <w:sz w:val="20"/>
              </w:rPr>
              <w:t>建议重命名中间件的默认账户。</w:t>
            </w:r>
          </w:p>
        </w:tc>
        <w:tc>
          <w:tcPr>
            <w:tcW w:w="1083" w:type="dxa"/>
          </w:tcPr>
          <w:p>
            <w:pPr>
              <w:spacing w:line="240" w:lineRule="auto"/>
              <w:jc w:val="center"/>
              <w:rPr>
                <w:sz w:val="20"/>
              </w:rPr>
            </w:pPr>
            <w:r>
              <w:rPr>
                <w:rFonts w:hint="eastAsia"/>
                <w:sz w:val="20"/>
              </w:rPr>
              <w:t>中风险</w:t>
            </w:r>
          </w:p>
          <w:p>
            <w:pPr>
              <w:spacing w:line="240" w:lineRule="auto"/>
              <w:jc w:val="center"/>
              <w:rPr>
                <w:sz w:val="20"/>
              </w:rPr>
            </w:pPr>
            <w:r>
              <w:rPr>
                <w:rFonts w:hint="eastAsia"/>
                <w:sz w:val="20"/>
              </w:rPr>
              <w:t>建议整改</w:t>
            </w:r>
          </w:p>
        </w:tc>
        <w:tc>
          <w:tcPr>
            <w:tcW w:w="2470" w:type="dxa"/>
          </w:tcPr>
          <w:p>
            <w:pPr>
              <w:numPr>
                <w:ilvl w:val="0"/>
                <w:numId w:val="4"/>
              </w:numPr>
              <w:spacing w:line="240" w:lineRule="auto"/>
              <w:jc w:val="both"/>
              <w:rPr>
                <w:rFonts w:hint="eastAsia"/>
                <w:sz w:val="20"/>
              </w:rPr>
            </w:pPr>
            <w:r>
              <w:rPr>
                <w:rFonts w:hint="eastAsia"/>
                <w:sz w:val="20"/>
                <w:lang w:val="en-US" w:eastAsia="zh-CN"/>
              </w:rPr>
              <w:t>修</w:t>
            </w:r>
            <w:r>
              <w:rPr>
                <w:rFonts w:hint="eastAsia"/>
                <w:sz w:val="20"/>
              </w:rPr>
              <w:t>改</w:t>
            </w:r>
          </w:p>
          <w:p>
            <w:pPr>
              <w:numPr>
                <w:ilvl w:val="0"/>
                <w:numId w:val="0"/>
              </w:numPr>
              <w:spacing w:line="240" w:lineRule="auto"/>
              <w:jc w:val="both"/>
              <w:rPr>
                <w:rFonts w:hint="eastAsia"/>
                <w:sz w:val="20"/>
                <w:lang w:val="en-US" w:eastAsia="zh-CN"/>
              </w:rPr>
            </w:pPr>
            <w:r>
              <w:rPr>
                <w:rFonts w:hint="eastAsia"/>
                <w:sz w:val="20"/>
                <w:lang w:val="en-US" w:eastAsia="zh-CN"/>
              </w:rPr>
              <w:t>${APUSIC_HOME}</w:t>
            </w:r>
            <w:r>
              <w:rPr>
                <w:rFonts w:hint="eastAsia"/>
                <w:sz w:val="20"/>
              </w:rPr>
              <w:t>/domains/mydomain/config/admin-keyfile文件，把对应的admin、secure、audit用户名修改为符合要求的用户名即可</w:t>
            </w:r>
            <w:r>
              <w:rPr>
                <w:rFonts w:hint="eastAsia"/>
                <w:sz w:val="20"/>
                <w:lang w:eastAsia="zh-CN"/>
              </w:rPr>
              <w:t>，</w:t>
            </w:r>
            <w:r>
              <w:rPr>
                <w:rFonts w:hint="eastAsia"/>
                <w:sz w:val="20"/>
                <w:lang w:val="en-US" w:eastAsia="zh-CN"/>
              </w:rPr>
              <w:t>例如</w:t>
            </w:r>
          </w:p>
          <w:p>
            <w:pPr>
              <w:numPr>
                <w:ilvl w:val="0"/>
                <w:numId w:val="0"/>
              </w:numPr>
              <w:spacing w:line="240" w:lineRule="auto"/>
              <w:jc w:val="both"/>
              <w:rPr>
                <w:rFonts w:hint="eastAsia"/>
                <w:sz w:val="20"/>
                <w:lang w:val="en-US" w:eastAsia="zh-CN"/>
              </w:rPr>
            </w:pPr>
            <w:r>
              <w:drawing>
                <wp:inline distT="0" distB="0" distL="114300" distR="114300">
                  <wp:extent cx="1426210" cy="128270"/>
                  <wp:effectExtent l="0" t="0" r="9525" b="127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9"/>
                          <a:stretch>
                            <a:fillRect/>
                          </a:stretch>
                        </pic:blipFill>
                        <pic:spPr>
                          <a:xfrm>
                            <a:off x="0" y="0"/>
                            <a:ext cx="1426210" cy="128270"/>
                          </a:xfrm>
                          <a:prstGeom prst="rect">
                            <a:avLst/>
                          </a:prstGeom>
                          <a:noFill/>
                          <a:ln>
                            <a:noFill/>
                          </a:ln>
                        </pic:spPr>
                      </pic:pic>
                    </a:graphicData>
                  </a:graphic>
                </wp:inline>
              </w:drawing>
            </w:r>
          </w:p>
        </w:tc>
      </w:tr>
      <w:tr>
        <w:tblPrEx>
          <w:tblBorders>
            <w:top w:val="single" w:color="auto" w:sz="4" w:space="0"/>
            <w:left w:val="single" w:color="000000" w:sz="0" w:space="0"/>
            <w:bottom w:val="single" w:color="auto" w:sz="4"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135" w:type="dxa"/>
            <w:vAlign w:val="center"/>
          </w:tcPr>
          <w:p>
            <w:pPr>
              <w:spacing w:line="240" w:lineRule="auto"/>
              <w:jc w:val="center"/>
            </w:pPr>
            <w:r>
              <w:rPr>
                <w:sz w:val="20"/>
              </w:rPr>
              <w:t>访问控制</w:t>
            </w:r>
          </w:p>
        </w:tc>
        <w:tc>
          <w:tcPr>
            <w:tcW w:w="1559" w:type="dxa"/>
            <w:vAlign w:val="center"/>
          </w:tcPr>
          <w:p>
            <w:pPr>
              <w:spacing w:line="240" w:lineRule="auto"/>
              <w:jc w:val="left"/>
            </w:pPr>
            <w:r>
              <w:rPr>
                <w:sz w:val="20"/>
              </w:rPr>
              <w:t>d) 应授予管理用户所需的最小权限，实现管理用户的权限分离；</w:t>
            </w:r>
          </w:p>
        </w:tc>
        <w:tc>
          <w:tcPr>
            <w:tcW w:w="2694" w:type="dxa"/>
          </w:tcPr>
          <w:p>
            <w:pPr>
              <w:spacing w:line="240" w:lineRule="auto"/>
              <w:jc w:val="left"/>
              <w:rPr>
                <w:sz w:val="20"/>
              </w:rPr>
            </w:pPr>
            <w:r>
              <w:rPr>
                <w:rFonts w:hint="eastAsia"/>
                <w:sz w:val="20"/>
              </w:rPr>
              <w:t>仅设置了系统管理员账户，未设置安全管理员和审计管理员账户，未实现管理用户的权限分离。</w:t>
            </w:r>
          </w:p>
        </w:tc>
        <w:tc>
          <w:tcPr>
            <w:tcW w:w="2045" w:type="dxa"/>
          </w:tcPr>
          <w:p>
            <w:pPr>
              <w:spacing w:line="240" w:lineRule="auto"/>
              <w:jc w:val="left"/>
              <w:rPr>
                <w:sz w:val="20"/>
              </w:rPr>
            </w:pPr>
            <w:r>
              <w:rPr>
                <w:rFonts w:hint="eastAsia"/>
                <w:sz w:val="20"/>
              </w:rPr>
              <w:t>建议中间件设置系统管理员、审计管理员、安全管理员账户，并根据最小授权原则设置各账户的权限，禁用超管账户，实现三权分立。</w:t>
            </w:r>
          </w:p>
        </w:tc>
        <w:tc>
          <w:tcPr>
            <w:tcW w:w="1083" w:type="dxa"/>
          </w:tcPr>
          <w:p>
            <w:pPr>
              <w:spacing w:line="240" w:lineRule="auto"/>
              <w:jc w:val="center"/>
              <w:rPr>
                <w:sz w:val="20"/>
              </w:rPr>
            </w:pPr>
            <w:r>
              <w:rPr>
                <w:rFonts w:hint="eastAsia"/>
                <w:sz w:val="20"/>
              </w:rPr>
              <w:t>中风险</w:t>
            </w:r>
          </w:p>
          <w:p>
            <w:pPr>
              <w:spacing w:line="240" w:lineRule="auto"/>
              <w:jc w:val="center"/>
              <w:rPr>
                <w:sz w:val="20"/>
              </w:rPr>
            </w:pPr>
            <w:r>
              <w:rPr>
                <w:rFonts w:hint="eastAsia"/>
                <w:sz w:val="20"/>
              </w:rPr>
              <w:t>建议整改</w:t>
            </w:r>
          </w:p>
        </w:tc>
        <w:tc>
          <w:tcPr>
            <w:tcW w:w="2470" w:type="dxa"/>
          </w:tcPr>
          <w:p>
            <w:pPr>
              <w:numPr>
                <w:ilvl w:val="0"/>
                <w:numId w:val="0"/>
              </w:numPr>
              <w:spacing w:line="240" w:lineRule="auto"/>
              <w:jc w:val="both"/>
              <w:rPr>
                <w:rFonts w:hint="eastAsia"/>
                <w:sz w:val="20"/>
              </w:rPr>
            </w:pPr>
            <w:r>
              <w:rPr>
                <w:rFonts w:hint="eastAsia"/>
                <w:sz w:val="20"/>
                <w:lang w:val="en-US" w:eastAsia="zh-CN"/>
              </w:rPr>
              <w:t>不用整改，金蝶中间件有</w:t>
            </w:r>
            <w:r>
              <w:rPr>
                <w:rFonts w:hint="eastAsia"/>
                <w:sz w:val="20"/>
              </w:rPr>
              <w:t>统管理员、审计管理员、安全管理员账户</w:t>
            </w:r>
            <w:r>
              <w:rPr>
                <w:rFonts w:hint="eastAsia"/>
                <w:sz w:val="20"/>
                <w:lang w:eastAsia="zh-CN"/>
              </w:rPr>
              <w:t>，</w:t>
            </w:r>
            <w:r>
              <w:rPr>
                <w:rFonts w:hint="eastAsia"/>
                <w:sz w:val="20"/>
                <w:lang w:val="en-US" w:eastAsia="zh-CN"/>
              </w:rPr>
              <w:t>可以使用secure（密码XXX）登录，点击“用户管理”，查看用户个数；也可以分别使用admin、secure、audit（密码都是XXX）登录进去查看</w:t>
            </w:r>
          </w:p>
          <w:p>
            <w:pPr>
              <w:numPr>
                <w:ilvl w:val="0"/>
                <w:numId w:val="0"/>
              </w:numPr>
              <w:spacing w:line="240" w:lineRule="auto"/>
              <w:jc w:val="both"/>
            </w:pPr>
            <w:r>
              <w:drawing>
                <wp:inline distT="0" distB="0" distL="114300" distR="114300">
                  <wp:extent cx="1184910" cy="274320"/>
                  <wp:effectExtent l="0" t="0" r="254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1184910" cy="274320"/>
                          </a:xfrm>
                          <a:prstGeom prst="rect">
                            <a:avLst/>
                          </a:prstGeom>
                          <a:noFill/>
                          <a:ln>
                            <a:noFill/>
                          </a:ln>
                        </pic:spPr>
                      </pic:pic>
                    </a:graphicData>
                  </a:graphic>
                </wp:inline>
              </w:drawing>
            </w:r>
          </w:p>
          <w:p>
            <w:pPr>
              <w:numPr>
                <w:ilvl w:val="0"/>
                <w:numId w:val="0"/>
              </w:numPr>
              <w:spacing w:line="240" w:lineRule="auto"/>
              <w:jc w:val="both"/>
            </w:pPr>
            <w:r>
              <w:drawing>
                <wp:inline distT="0" distB="0" distL="114300" distR="114300">
                  <wp:extent cx="1184275" cy="372745"/>
                  <wp:effectExtent l="0" t="0" r="3175"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1184275" cy="372745"/>
                          </a:xfrm>
                          <a:prstGeom prst="rect">
                            <a:avLst/>
                          </a:prstGeom>
                          <a:noFill/>
                          <a:ln>
                            <a:noFill/>
                          </a:ln>
                        </pic:spPr>
                      </pic:pic>
                    </a:graphicData>
                  </a:graphic>
                </wp:inline>
              </w:drawing>
            </w:r>
          </w:p>
          <w:p>
            <w:pPr>
              <w:numPr>
                <w:ilvl w:val="0"/>
                <w:numId w:val="0"/>
              </w:numPr>
              <w:spacing w:line="240" w:lineRule="auto"/>
              <w:jc w:val="both"/>
            </w:pPr>
            <w:r>
              <w:drawing>
                <wp:inline distT="0" distB="0" distL="114300" distR="114300">
                  <wp:extent cx="1183640" cy="270510"/>
                  <wp:effectExtent l="0" t="0" r="3810" b="1016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2"/>
                          <a:stretch>
                            <a:fillRect/>
                          </a:stretch>
                        </pic:blipFill>
                        <pic:spPr>
                          <a:xfrm>
                            <a:off x="0" y="0"/>
                            <a:ext cx="1183640" cy="270510"/>
                          </a:xfrm>
                          <a:prstGeom prst="rect">
                            <a:avLst/>
                          </a:prstGeom>
                          <a:noFill/>
                          <a:ln>
                            <a:noFill/>
                          </a:ln>
                        </pic:spPr>
                      </pic:pic>
                    </a:graphicData>
                  </a:graphic>
                </wp:inline>
              </w:drawing>
            </w:r>
          </w:p>
          <w:p>
            <w:pPr>
              <w:numPr>
                <w:ilvl w:val="0"/>
                <w:numId w:val="0"/>
              </w:numPr>
              <w:spacing w:line="240" w:lineRule="auto"/>
              <w:jc w:val="both"/>
              <w:rPr>
                <w:rFonts w:hint="default"/>
                <w:lang w:val="en-US" w:eastAsia="zh-CN"/>
              </w:rPr>
            </w:pPr>
            <w:r>
              <w:drawing>
                <wp:inline distT="0" distB="0" distL="114300" distR="114300">
                  <wp:extent cx="1184275" cy="328295"/>
                  <wp:effectExtent l="0" t="0" r="3175"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3"/>
                          <a:stretch>
                            <a:fillRect/>
                          </a:stretch>
                        </pic:blipFill>
                        <pic:spPr>
                          <a:xfrm>
                            <a:off x="0" y="0"/>
                            <a:ext cx="1184275" cy="328295"/>
                          </a:xfrm>
                          <a:prstGeom prst="rect">
                            <a:avLst/>
                          </a:prstGeom>
                          <a:noFill/>
                          <a:ln>
                            <a:noFill/>
                          </a:ln>
                        </pic:spPr>
                      </pic:pic>
                    </a:graphicData>
                  </a:graphic>
                </wp:inline>
              </w:drawing>
            </w:r>
          </w:p>
        </w:tc>
      </w:tr>
      <w:tr>
        <w:tblPrEx>
          <w:tblBorders>
            <w:top w:val="single" w:color="auto" w:sz="4" w:space="0"/>
            <w:left w:val="single" w:color="000000" w:sz="0" w:space="0"/>
            <w:bottom w:val="single" w:color="auto" w:sz="4"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135" w:type="dxa"/>
            <w:vAlign w:val="center"/>
          </w:tcPr>
          <w:p>
            <w:pPr>
              <w:spacing w:line="240" w:lineRule="auto"/>
              <w:jc w:val="center"/>
            </w:pPr>
            <w:r>
              <w:rPr>
                <w:sz w:val="20"/>
              </w:rPr>
              <w:t>安全审计</w:t>
            </w:r>
          </w:p>
        </w:tc>
        <w:tc>
          <w:tcPr>
            <w:tcW w:w="1559" w:type="dxa"/>
            <w:vAlign w:val="center"/>
          </w:tcPr>
          <w:p>
            <w:pPr>
              <w:spacing w:line="240" w:lineRule="auto"/>
              <w:jc w:val="left"/>
            </w:pPr>
            <w:r>
              <w:rPr>
                <w:sz w:val="20"/>
              </w:rPr>
              <w:t>a) 应启用安全审计功能，审计覆盖到每个用户，对重要的用户行为和重要安全事件进行审计；</w:t>
            </w:r>
          </w:p>
        </w:tc>
        <w:tc>
          <w:tcPr>
            <w:tcW w:w="2694" w:type="dxa"/>
          </w:tcPr>
          <w:p>
            <w:pPr>
              <w:spacing w:line="240" w:lineRule="auto"/>
              <w:jc w:val="left"/>
              <w:rPr>
                <w:sz w:val="20"/>
              </w:rPr>
            </w:pPr>
            <w:r>
              <w:rPr>
                <w:rFonts w:hint="eastAsia"/>
                <w:sz w:val="20"/>
              </w:rPr>
              <w:t>未启用安全审计功能。</w:t>
            </w:r>
          </w:p>
        </w:tc>
        <w:tc>
          <w:tcPr>
            <w:tcW w:w="2045" w:type="dxa"/>
          </w:tcPr>
          <w:p>
            <w:pPr>
              <w:spacing w:line="240" w:lineRule="auto"/>
              <w:jc w:val="left"/>
              <w:rPr>
                <w:sz w:val="20"/>
              </w:rPr>
            </w:pPr>
            <w:r>
              <w:rPr>
                <w:rFonts w:hint="eastAsia"/>
                <w:sz w:val="20"/>
              </w:rPr>
              <w:t>建议中间件开启安全审计功能，审计覆盖到每个用户，对用户的登录、操作和重要安全事件进行记录。</w:t>
            </w:r>
          </w:p>
        </w:tc>
        <w:tc>
          <w:tcPr>
            <w:tcW w:w="1083" w:type="dxa"/>
          </w:tcPr>
          <w:p>
            <w:pPr>
              <w:spacing w:line="240" w:lineRule="auto"/>
              <w:jc w:val="center"/>
              <w:rPr>
                <w:sz w:val="20"/>
              </w:rPr>
            </w:pPr>
            <w:r>
              <w:rPr>
                <w:rFonts w:hint="eastAsia"/>
                <w:sz w:val="20"/>
              </w:rPr>
              <w:t>高风险</w:t>
            </w:r>
          </w:p>
        </w:tc>
        <w:tc>
          <w:tcPr>
            <w:tcW w:w="2470" w:type="dxa"/>
          </w:tcPr>
          <w:p>
            <w:pPr>
              <w:spacing w:line="240" w:lineRule="auto"/>
              <w:jc w:val="both"/>
              <w:rPr>
                <w:rFonts w:hint="eastAsia" w:eastAsia="华文仿宋"/>
                <w:sz w:val="20"/>
                <w:lang w:val="en-US" w:eastAsia="zh-CN"/>
              </w:rPr>
            </w:pPr>
            <w:r>
              <w:rPr>
                <w:rFonts w:hint="eastAsia"/>
                <w:sz w:val="20"/>
                <w:lang w:val="en-US" w:eastAsia="zh-CN"/>
              </w:rPr>
              <w:t>金蝶中间件有开启安全审计功能；使用audit（密码XXX）登录管控，点击“日志”-“审计日志”，查看审计日志信息，</w:t>
            </w:r>
            <w:r>
              <w:rPr>
                <w:rFonts w:hint="eastAsia"/>
                <w:sz w:val="20"/>
              </w:rPr>
              <w:t>审计覆盖到每个用户，对用户的登录、操作和重要安全事件进行记录</w:t>
            </w:r>
            <w:r>
              <w:rPr>
                <w:rFonts w:hint="eastAsia"/>
                <w:sz w:val="20"/>
                <w:lang w:eastAsia="zh-CN"/>
              </w:rPr>
              <w:t>。</w:t>
            </w:r>
          </w:p>
          <w:p>
            <w:pPr>
              <w:spacing w:line="240" w:lineRule="auto"/>
              <w:jc w:val="both"/>
              <w:rPr>
                <w:rFonts w:hint="default"/>
                <w:sz w:val="20"/>
                <w:lang w:val="en-US" w:eastAsia="zh-CN"/>
              </w:rPr>
            </w:pPr>
            <w:r>
              <w:drawing>
                <wp:inline distT="0" distB="0" distL="114300" distR="114300">
                  <wp:extent cx="1181735" cy="629920"/>
                  <wp:effectExtent l="0" t="0" r="5715" b="698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4"/>
                          <a:stretch>
                            <a:fillRect/>
                          </a:stretch>
                        </pic:blipFill>
                        <pic:spPr>
                          <a:xfrm>
                            <a:off x="0" y="0"/>
                            <a:ext cx="1181735" cy="629920"/>
                          </a:xfrm>
                          <a:prstGeom prst="rect">
                            <a:avLst/>
                          </a:prstGeom>
                          <a:noFill/>
                          <a:ln>
                            <a:noFill/>
                          </a:ln>
                        </pic:spPr>
                      </pic:pic>
                    </a:graphicData>
                  </a:graphic>
                </wp:inline>
              </w:drawing>
            </w:r>
          </w:p>
        </w:tc>
      </w:tr>
      <w:tr>
        <w:tblPrEx>
          <w:tblBorders>
            <w:top w:val="single" w:color="auto" w:sz="4" w:space="0"/>
            <w:left w:val="single" w:color="000000" w:sz="0" w:space="0"/>
            <w:bottom w:val="single" w:color="auto" w:sz="4"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135" w:type="dxa"/>
            <w:vAlign w:val="center"/>
          </w:tcPr>
          <w:p>
            <w:pPr>
              <w:spacing w:line="240" w:lineRule="auto"/>
              <w:jc w:val="center"/>
            </w:pPr>
            <w:r>
              <w:rPr>
                <w:sz w:val="20"/>
              </w:rPr>
              <w:t>安全审计</w:t>
            </w:r>
          </w:p>
        </w:tc>
        <w:tc>
          <w:tcPr>
            <w:tcW w:w="1559" w:type="dxa"/>
            <w:vAlign w:val="center"/>
          </w:tcPr>
          <w:p>
            <w:pPr>
              <w:spacing w:line="240" w:lineRule="auto"/>
              <w:jc w:val="left"/>
            </w:pPr>
            <w:r>
              <w:rPr>
                <w:sz w:val="20"/>
              </w:rPr>
              <w:t>b) 审计记录应包括事件的日期和时间、用户、事件类型、事件是否成功及其他与审计相关的信息；</w:t>
            </w:r>
          </w:p>
        </w:tc>
        <w:tc>
          <w:tcPr>
            <w:tcW w:w="2694" w:type="dxa"/>
          </w:tcPr>
          <w:p>
            <w:pPr>
              <w:spacing w:line="240" w:lineRule="auto"/>
              <w:jc w:val="left"/>
              <w:rPr>
                <w:sz w:val="20"/>
              </w:rPr>
            </w:pPr>
            <w:r>
              <w:rPr>
                <w:rFonts w:hint="eastAsia"/>
                <w:sz w:val="20"/>
              </w:rPr>
              <w:t>未启用安全审计功能。</w:t>
            </w:r>
          </w:p>
        </w:tc>
        <w:tc>
          <w:tcPr>
            <w:tcW w:w="2045" w:type="dxa"/>
          </w:tcPr>
          <w:p>
            <w:pPr>
              <w:spacing w:line="240" w:lineRule="auto"/>
              <w:jc w:val="left"/>
              <w:rPr>
                <w:sz w:val="20"/>
              </w:rPr>
            </w:pPr>
            <w:r>
              <w:rPr>
                <w:rFonts w:hint="eastAsia"/>
                <w:sz w:val="20"/>
              </w:rPr>
              <w:t>建议审计记录包括事件的日期和时间、用户、事件类型、事件是否成功及其他与审计相关的信息。</w:t>
            </w:r>
          </w:p>
        </w:tc>
        <w:tc>
          <w:tcPr>
            <w:tcW w:w="1083" w:type="dxa"/>
          </w:tcPr>
          <w:p>
            <w:pPr>
              <w:spacing w:line="240" w:lineRule="auto"/>
              <w:jc w:val="center"/>
              <w:rPr>
                <w:sz w:val="20"/>
              </w:rPr>
            </w:pPr>
            <w:r>
              <w:rPr>
                <w:rFonts w:hint="eastAsia"/>
                <w:sz w:val="20"/>
              </w:rPr>
              <w:t>高风险</w:t>
            </w:r>
          </w:p>
        </w:tc>
        <w:tc>
          <w:tcPr>
            <w:tcW w:w="2470" w:type="dxa"/>
          </w:tcPr>
          <w:p>
            <w:pPr>
              <w:spacing w:line="240" w:lineRule="auto"/>
              <w:jc w:val="both"/>
              <w:rPr>
                <w:rFonts w:hint="eastAsia"/>
                <w:sz w:val="20"/>
                <w:lang w:val="en-US" w:eastAsia="zh-CN"/>
              </w:rPr>
            </w:pPr>
            <w:r>
              <w:rPr>
                <w:rFonts w:hint="eastAsia"/>
                <w:sz w:val="20"/>
                <w:lang w:val="en-US" w:eastAsia="zh-CN"/>
              </w:rPr>
              <w:t>金蝶中间件有开启安全审计功能；使用audit（密码XXX）登录管控，点击“日志”-“审计日志”，查看审计日志信息，</w:t>
            </w:r>
            <w:r>
              <w:rPr>
                <w:rFonts w:hint="eastAsia"/>
                <w:sz w:val="20"/>
              </w:rPr>
              <w:t>审计</w:t>
            </w:r>
            <w:r>
              <w:rPr>
                <w:rFonts w:hint="eastAsia"/>
                <w:sz w:val="20"/>
                <w:lang w:val="en-US" w:eastAsia="zh-CN"/>
              </w:rPr>
              <w:t>记录</w:t>
            </w:r>
            <w:r>
              <w:rPr>
                <w:rFonts w:hint="eastAsia"/>
                <w:sz w:val="20"/>
              </w:rPr>
              <w:t>包括事件的日期和时间、用户、事件类型、事件是否成功及其他与审计相关的信息。</w:t>
            </w:r>
          </w:p>
          <w:p>
            <w:pPr>
              <w:spacing w:line="240" w:lineRule="auto"/>
              <w:jc w:val="center"/>
            </w:pPr>
          </w:p>
          <w:p>
            <w:pPr>
              <w:spacing w:line="240" w:lineRule="auto"/>
              <w:jc w:val="center"/>
              <w:rPr>
                <w:rFonts w:hint="eastAsia"/>
                <w:sz w:val="20"/>
              </w:rPr>
            </w:pPr>
            <w:r>
              <w:drawing>
                <wp:inline distT="0" distB="0" distL="114300" distR="114300">
                  <wp:extent cx="1181735" cy="629920"/>
                  <wp:effectExtent l="0" t="0" r="5715" b="698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4"/>
                          <a:stretch>
                            <a:fillRect/>
                          </a:stretch>
                        </pic:blipFill>
                        <pic:spPr>
                          <a:xfrm>
                            <a:off x="0" y="0"/>
                            <a:ext cx="1181735" cy="629920"/>
                          </a:xfrm>
                          <a:prstGeom prst="rect">
                            <a:avLst/>
                          </a:prstGeom>
                          <a:noFill/>
                          <a:ln>
                            <a:noFill/>
                          </a:ln>
                        </pic:spPr>
                      </pic:pic>
                    </a:graphicData>
                  </a:graphic>
                </wp:inline>
              </w:drawing>
            </w:r>
          </w:p>
        </w:tc>
      </w:tr>
      <w:tr>
        <w:tblPrEx>
          <w:tblBorders>
            <w:top w:val="single" w:color="auto" w:sz="4" w:space="0"/>
            <w:left w:val="single" w:color="000000" w:sz="0" w:space="0"/>
            <w:bottom w:val="single" w:color="auto" w:sz="4"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135" w:type="dxa"/>
            <w:vAlign w:val="center"/>
          </w:tcPr>
          <w:p>
            <w:pPr>
              <w:spacing w:line="240" w:lineRule="auto"/>
              <w:jc w:val="center"/>
            </w:pPr>
            <w:r>
              <w:rPr>
                <w:sz w:val="20"/>
              </w:rPr>
              <w:t>安全审计</w:t>
            </w:r>
          </w:p>
        </w:tc>
        <w:tc>
          <w:tcPr>
            <w:tcW w:w="1559" w:type="dxa"/>
            <w:vAlign w:val="center"/>
          </w:tcPr>
          <w:p>
            <w:pPr>
              <w:spacing w:line="240" w:lineRule="auto"/>
              <w:jc w:val="left"/>
            </w:pPr>
            <w:r>
              <w:rPr>
                <w:sz w:val="20"/>
              </w:rPr>
              <w:t>c) 应对审计记录进行保护，定期备份，避免受到未预期的删除、修改或覆盖等；</w:t>
            </w:r>
          </w:p>
        </w:tc>
        <w:tc>
          <w:tcPr>
            <w:tcW w:w="2694" w:type="dxa"/>
          </w:tcPr>
          <w:p>
            <w:pPr>
              <w:spacing w:line="240" w:lineRule="auto"/>
              <w:jc w:val="left"/>
              <w:rPr>
                <w:sz w:val="20"/>
              </w:rPr>
            </w:pPr>
            <w:r>
              <w:rPr>
                <w:rFonts w:hint="eastAsia"/>
                <w:sz w:val="20"/>
              </w:rPr>
              <w:t>未启用安全审计功能，未定期对审计日志进行备份，未配置日志服务器实时收集系统的日志信息。</w:t>
            </w:r>
          </w:p>
        </w:tc>
        <w:tc>
          <w:tcPr>
            <w:tcW w:w="2045" w:type="dxa"/>
          </w:tcPr>
          <w:p>
            <w:pPr>
              <w:spacing w:line="240" w:lineRule="auto"/>
              <w:jc w:val="left"/>
              <w:rPr>
                <w:sz w:val="20"/>
              </w:rPr>
            </w:pPr>
            <w:r>
              <w:rPr>
                <w:rFonts w:hint="eastAsia"/>
                <w:sz w:val="20"/>
              </w:rPr>
              <w:t>建议每天对中间件日志进行备份，并配置日志服务器或使用第三方日志审计系统对各类日志进行收集和保护，降低日志遭到非授权删除、修改或覆盖的风险，并保证审计日志保存时间至少有6个月。</w:t>
            </w:r>
          </w:p>
        </w:tc>
        <w:tc>
          <w:tcPr>
            <w:tcW w:w="1083" w:type="dxa"/>
          </w:tcPr>
          <w:p>
            <w:pPr>
              <w:spacing w:line="240" w:lineRule="auto"/>
              <w:jc w:val="center"/>
              <w:rPr>
                <w:sz w:val="20"/>
              </w:rPr>
            </w:pPr>
            <w:r>
              <w:rPr>
                <w:rFonts w:hint="eastAsia"/>
                <w:sz w:val="20"/>
              </w:rPr>
              <w:t>高风险</w:t>
            </w:r>
          </w:p>
        </w:tc>
        <w:tc>
          <w:tcPr>
            <w:tcW w:w="2470" w:type="dxa"/>
          </w:tcPr>
          <w:p>
            <w:pPr>
              <w:spacing w:line="240" w:lineRule="auto"/>
              <w:jc w:val="center"/>
              <w:rPr>
                <w:rFonts w:hint="eastAsia"/>
                <w:sz w:val="20"/>
                <w:lang w:val="en-US" w:eastAsia="zh-CN"/>
              </w:rPr>
            </w:pPr>
            <w:r>
              <w:rPr>
                <w:rFonts w:hint="eastAsia"/>
                <w:sz w:val="20"/>
                <w:lang w:val="en-US" w:eastAsia="zh-CN"/>
              </w:rPr>
              <w:t>金蝶中间件有开启安全审计功能，能进行审计日志的备份。使用audit（密码XXX）登录管控，点击“系统管理”，日志配置下面，配置了审计日志的备份周期并且审计日志保留时间为6个月。</w:t>
            </w:r>
          </w:p>
          <w:p>
            <w:pPr>
              <w:spacing w:line="240" w:lineRule="auto"/>
              <w:jc w:val="center"/>
              <w:rPr>
                <w:rFonts w:hint="eastAsia"/>
                <w:sz w:val="20"/>
                <w:lang w:val="en-US" w:eastAsia="zh-CN"/>
              </w:rPr>
            </w:pPr>
            <w:r>
              <w:drawing>
                <wp:inline distT="0" distB="0" distL="114300" distR="114300">
                  <wp:extent cx="1184275" cy="488315"/>
                  <wp:effectExtent l="0" t="0" r="3175"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5"/>
                          <a:stretch>
                            <a:fillRect/>
                          </a:stretch>
                        </pic:blipFill>
                        <pic:spPr>
                          <a:xfrm>
                            <a:off x="0" y="0"/>
                            <a:ext cx="1184275" cy="488315"/>
                          </a:xfrm>
                          <a:prstGeom prst="rect">
                            <a:avLst/>
                          </a:prstGeom>
                          <a:noFill/>
                          <a:ln>
                            <a:noFill/>
                          </a:ln>
                        </pic:spPr>
                      </pic:pic>
                    </a:graphicData>
                  </a:graphic>
                </wp:inline>
              </w:drawing>
            </w:r>
          </w:p>
          <w:p>
            <w:pPr>
              <w:spacing w:line="240" w:lineRule="auto"/>
              <w:jc w:val="center"/>
              <w:rPr>
                <w:rFonts w:hint="default"/>
                <w:sz w:val="20"/>
                <w:lang w:val="en-US" w:eastAsia="zh-CN"/>
              </w:rPr>
            </w:pPr>
            <w:r>
              <w:drawing>
                <wp:inline distT="0" distB="0" distL="114300" distR="114300">
                  <wp:extent cx="1182370" cy="473075"/>
                  <wp:effectExtent l="0" t="0" r="5080" b="190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6"/>
                          <a:stretch>
                            <a:fillRect/>
                          </a:stretch>
                        </pic:blipFill>
                        <pic:spPr>
                          <a:xfrm>
                            <a:off x="0" y="0"/>
                            <a:ext cx="1182370" cy="473075"/>
                          </a:xfrm>
                          <a:prstGeom prst="rect">
                            <a:avLst/>
                          </a:prstGeom>
                          <a:noFill/>
                          <a:ln>
                            <a:noFill/>
                          </a:ln>
                        </pic:spPr>
                      </pic:pic>
                    </a:graphicData>
                  </a:graphic>
                </wp:inline>
              </w:drawing>
            </w:r>
          </w:p>
        </w:tc>
      </w:tr>
      <w:tr>
        <w:tblPrEx>
          <w:tblBorders>
            <w:top w:val="single" w:color="auto" w:sz="4" w:space="0"/>
            <w:left w:val="single" w:color="000000" w:sz="0" w:space="0"/>
            <w:bottom w:val="single" w:color="auto" w:sz="4"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135" w:type="dxa"/>
            <w:vAlign w:val="center"/>
          </w:tcPr>
          <w:p>
            <w:pPr>
              <w:spacing w:line="240" w:lineRule="auto"/>
              <w:jc w:val="center"/>
            </w:pPr>
            <w:r>
              <w:rPr>
                <w:sz w:val="20"/>
              </w:rPr>
              <w:t>入侵防范</w:t>
            </w:r>
          </w:p>
        </w:tc>
        <w:tc>
          <w:tcPr>
            <w:tcW w:w="1559" w:type="dxa"/>
            <w:vAlign w:val="center"/>
          </w:tcPr>
          <w:p>
            <w:pPr>
              <w:spacing w:line="240" w:lineRule="auto"/>
              <w:jc w:val="left"/>
            </w:pPr>
            <w:r>
              <w:rPr>
                <w:sz w:val="20"/>
              </w:rPr>
              <w:t>c) 应通过设定终端接入方式或网络地址范围对通过网络进行管理的管理终端进行限制；</w:t>
            </w:r>
          </w:p>
        </w:tc>
        <w:tc>
          <w:tcPr>
            <w:tcW w:w="2694" w:type="dxa"/>
          </w:tcPr>
          <w:p>
            <w:pPr>
              <w:spacing w:line="240" w:lineRule="auto"/>
              <w:jc w:val="left"/>
              <w:rPr>
                <w:sz w:val="20"/>
              </w:rPr>
            </w:pPr>
            <w:r>
              <w:rPr>
                <w:rFonts w:hint="eastAsia"/>
                <w:sz w:val="20"/>
              </w:rPr>
              <w:t>未对中间件的接入方式或登录网络地址范围进行限制。</w:t>
            </w:r>
          </w:p>
        </w:tc>
        <w:tc>
          <w:tcPr>
            <w:tcW w:w="2045" w:type="dxa"/>
          </w:tcPr>
          <w:p>
            <w:pPr>
              <w:spacing w:line="240" w:lineRule="auto"/>
              <w:jc w:val="left"/>
              <w:rPr>
                <w:sz w:val="20"/>
              </w:rPr>
            </w:pPr>
            <w:r>
              <w:rPr>
                <w:rFonts w:hint="eastAsia"/>
                <w:sz w:val="20"/>
              </w:rPr>
              <w:t>建议限制接入中间件的IP地址范围或接入方式，避免无关用户对设备的访问。</w:t>
            </w:r>
          </w:p>
        </w:tc>
        <w:tc>
          <w:tcPr>
            <w:tcW w:w="1083" w:type="dxa"/>
          </w:tcPr>
          <w:p>
            <w:pPr>
              <w:spacing w:line="240" w:lineRule="auto"/>
              <w:jc w:val="center"/>
              <w:rPr>
                <w:sz w:val="20"/>
              </w:rPr>
            </w:pPr>
            <w:r>
              <w:rPr>
                <w:rFonts w:hint="eastAsia"/>
                <w:sz w:val="20"/>
              </w:rPr>
              <w:t>高风险</w:t>
            </w:r>
          </w:p>
        </w:tc>
        <w:tc>
          <w:tcPr>
            <w:tcW w:w="2470" w:type="dxa"/>
          </w:tcPr>
          <w:p>
            <w:pPr>
              <w:spacing w:line="240" w:lineRule="auto"/>
              <w:jc w:val="both"/>
              <w:rPr>
                <w:rFonts w:hint="eastAsia"/>
                <w:sz w:val="20"/>
              </w:rPr>
            </w:pPr>
            <w:r>
              <w:rPr>
                <w:rFonts w:hint="eastAsia"/>
                <w:sz w:val="20"/>
              </w:rPr>
              <w:t>以管理员</w:t>
            </w:r>
            <w:r>
              <w:rPr>
                <w:rFonts w:hint="eastAsia"/>
                <w:sz w:val="20"/>
                <w:lang w:eastAsia="zh-CN"/>
              </w:rPr>
              <w:t>（</w:t>
            </w:r>
            <w:r>
              <w:rPr>
                <w:rFonts w:hint="eastAsia"/>
                <w:sz w:val="20"/>
                <w:lang w:val="en-US" w:eastAsia="zh-CN"/>
              </w:rPr>
              <w:t>admin</w:t>
            </w:r>
            <w:r>
              <w:rPr>
                <w:rFonts w:hint="eastAsia"/>
                <w:sz w:val="20"/>
                <w:lang w:eastAsia="zh-CN"/>
              </w:rPr>
              <w:t>）</w:t>
            </w:r>
            <w:r>
              <w:rPr>
                <w:rFonts w:hint="eastAsia"/>
                <w:sz w:val="20"/>
              </w:rPr>
              <w:t>登录管控，“配置”-&gt; “server-config”-&gt; “虚拟服务器”中的访问控制设置黑白名单</w:t>
            </w:r>
          </w:p>
          <w:p>
            <w:pPr>
              <w:spacing w:line="240" w:lineRule="auto"/>
              <w:jc w:val="both"/>
            </w:pPr>
            <w:r>
              <w:drawing>
                <wp:inline distT="0" distB="0" distL="114300" distR="114300">
                  <wp:extent cx="1427480" cy="814705"/>
                  <wp:effectExtent l="0" t="0" r="8255"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7"/>
                          <a:stretch>
                            <a:fillRect/>
                          </a:stretch>
                        </pic:blipFill>
                        <pic:spPr>
                          <a:xfrm>
                            <a:off x="0" y="0"/>
                            <a:ext cx="1427480" cy="814705"/>
                          </a:xfrm>
                          <a:prstGeom prst="rect">
                            <a:avLst/>
                          </a:prstGeom>
                          <a:noFill/>
                          <a:ln>
                            <a:noFill/>
                          </a:ln>
                        </pic:spPr>
                      </pic:pic>
                    </a:graphicData>
                  </a:graphic>
                </wp:inline>
              </w:drawing>
            </w:r>
          </w:p>
          <w:p>
            <w:pPr>
              <w:spacing w:line="240" w:lineRule="auto"/>
              <w:jc w:val="both"/>
              <w:rPr>
                <w:rFonts w:hint="eastAsia"/>
              </w:rPr>
            </w:pPr>
          </w:p>
        </w:tc>
      </w:tr>
      <w:tr>
        <w:tblPrEx>
          <w:tblBorders>
            <w:top w:val="single" w:color="auto" w:sz="4" w:space="0"/>
            <w:left w:val="single" w:color="000000" w:sz="0" w:space="0"/>
            <w:bottom w:val="single" w:color="auto" w:sz="4"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135" w:type="dxa"/>
            <w:vAlign w:val="center"/>
          </w:tcPr>
          <w:p>
            <w:pPr>
              <w:spacing w:line="240" w:lineRule="auto"/>
              <w:jc w:val="center"/>
            </w:pPr>
            <w:r>
              <w:rPr>
                <w:sz w:val="20"/>
              </w:rPr>
              <w:t>入侵防范</w:t>
            </w:r>
          </w:p>
        </w:tc>
        <w:tc>
          <w:tcPr>
            <w:tcW w:w="1559" w:type="dxa"/>
            <w:vAlign w:val="center"/>
          </w:tcPr>
          <w:p>
            <w:pPr>
              <w:spacing w:line="240" w:lineRule="auto"/>
              <w:jc w:val="left"/>
            </w:pPr>
            <w:r>
              <w:rPr>
                <w:sz w:val="20"/>
              </w:rPr>
              <w:t>e) 应能发现可能存在的已知漏洞，并在经过充分测试评估后，及时修补漏洞；</w:t>
            </w:r>
          </w:p>
        </w:tc>
        <w:tc>
          <w:tcPr>
            <w:tcW w:w="2694" w:type="dxa"/>
          </w:tcPr>
          <w:p>
            <w:pPr>
              <w:spacing w:line="240" w:lineRule="auto"/>
              <w:jc w:val="left"/>
              <w:rPr>
                <w:sz w:val="20"/>
              </w:rPr>
            </w:pPr>
            <w:r>
              <w:rPr>
                <w:rFonts w:hint="eastAsia"/>
                <w:sz w:val="20"/>
              </w:rPr>
              <w:t>未定期通过漏洞扫描、渗透测试等方式发现可能存在的已知漏洞，但已修复本次等保测评中发现的高危漏洞。</w:t>
            </w:r>
          </w:p>
        </w:tc>
        <w:tc>
          <w:tcPr>
            <w:tcW w:w="2045" w:type="dxa"/>
          </w:tcPr>
          <w:p>
            <w:pPr>
              <w:spacing w:line="240" w:lineRule="auto"/>
              <w:jc w:val="left"/>
              <w:rPr>
                <w:sz w:val="20"/>
              </w:rPr>
            </w:pPr>
            <w:r>
              <w:rPr>
                <w:rFonts w:hint="eastAsia"/>
                <w:sz w:val="20"/>
              </w:rPr>
              <w:t>建议定期通过漏洞扫描、渗透测试等方式发现可能存在的已知漏洞，并在充分测试评估后及时修复。</w:t>
            </w:r>
          </w:p>
        </w:tc>
        <w:tc>
          <w:tcPr>
            <w:tcW w:w="1083" w:type="dxa"/>
          </w:tcPr>
          <w:p>
            <w:pPr>
              <w:spacing w:line="240" w:lineRule="auto"/>
              <w:jc w:val="center"/>
              <w:rPr>
                <w:sz w:val="20"/>
              </w:rPr>
            </w:pPr>
            <w:r>
              <w:rPr>
                <w:rFonts w:hint="eastAsia"/>
                <w:sz w:val="20"/>
              </w:rPr>
              <w:t>中风险，建议整改</w:t>
            </w:r>
          </w:p>
        </w:tc>
        <w:tc>
          <w:tcPr>
            <w:tcW w:w="2470" w:type="dxa"/>
          </w:tcPr>
          <w:p>
            <w:pPr>
              <w:spacing w:line="240" w:lineRule="auto"/>
              <w:jc w:val="both"/>
              <w:rPr>
                <w:rFonts w:hint="default" w:eastAsia="华文仿宋"/>
                <w:color w:val="FF0000"/>
                <w:sz w:val="20"/>
                <w:lang w:val="en-US" w:eastAsia="zh-CN"/>
              </w:rPr>
            </w:pPr>
            <w:r>
              <w:rPr>
                <w:rFonts w:hint="eastAsia"/>
                <w:color w:val="FF0000"/>
                <w:sz w:val="20"/>
                <w:lang w:val="en-US" w:eastAsia="zh-CN"/>
              </w:rPr>
              <w:t>针对这个风险，一般是其他第三方用漏扫工具对中间件或者中间件部署的应用系统进行漏洞扫描以及渗透测试等去发现可能存在的漏洞。针对漏扫的结果进行及时修复。所以这项需要集成商和测评人员确认下是否需要去整改</w:t>
            </w:r>
          </w:p>
        </w:tc>
      </w:tr>
      <w:tr>
        <w:tblPrEx>
          <w:tblBorders>
            <w:top w:val="single" w:color="auto" w:sz="4" w:space="0"/>
            <w:left w:val="single" w:color="000000" w:sz="0" w:space="0"/>
            <w:bottom w:val="single" w:color="auto" w:sz="4"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135" w:type="dxa"/>
            <w:vAlign w:val="center"/>
          </w:tcPr>
          <w:p>
            <w:pPr>
              <w:spacing w:line="240" w:lineRule="auto"/>
              <w:jc w:val="center"/>
              <w:rPr>
                <w:sz w:val="20"/>
              </w:rPr>
            </w:pPr>
            <w:r>
              <w:rPr>
                <w:sz w:val="20"/>
              </w:rPr>
              <w:t>数据备份恢复</w:t>
            </w:r>
          </w:p>
        </w:tc>
        <w:tc>
          <w:tcPr>
            <w:tcW w:w="1559" w:type="dxa"/>
            <w:vAlign w:val="center"/>
          </w:tcPr>
          <w:p>
            <w:pPr>
              <w:spacing w:line="240" w:lineRule="auto"/>
              <w:jc w:val="left"/>
              <w:rPr>
                <w:sz w:val="20"/>
              </w:rPr>
            </w:pPr>
            <w:r>
              <w:rPr>
                <w:sz w:val="20"/>
              </w:rPr>
              <w:t>a) 应提供重要数据的本地数据备份与恢复功能；</w:t>
            </w:r>
          </w:p>
        </w:tc>
        <w:tc>
          <w:tcPr>
            <w:tcW w:w="2694" w:type="dxa"/>
          </w:tcPr>
          <w:p>
            <w:pPr>
              <w:spacing w:line="240" w:lineRule="auto"/>
              <w:jc w:val="left"/>
              <w:rPr>
                <w:sz w:val="20"/>
              </w:rPr>
            </w:pPr>
            <w:r>
              <w:rPr>
                <w:rFonts w:hint="eastAsia"/>
                <w:sz w:val="20"/>
              </w:rPr>
              <w:t>未对中间件的配置文件进行备份，未对备份数据开展恢复测试。</w:t>
            </w:r>
          </w:p>
        </w:tc>
        <w:tc>
          <w:tcPr>
            <w:tcW w:w="2045" w:type="dxa"/>
          </w:tcPr>
          <w:p>
            <w:pPr>
              <w:spacing w:line="240" w:lineRule="auto"/>
              <w:jc w:val="left"/>
              <w:rPr>
                <w:sz w:val="20"/>
              </w:rPr>
            </w:pPr>
            <w:r>
              <w:rPr>
                <w:rFonts w:hint="eastAsia"/>
                <w:sz w:val="20"/>
              </w:rPr>
              <w:t>建议定期对中间件的配置文件进行备份，并定期开展备份数据的恢复测试，验证备份数据的可用性，并妥善保存恢复测试记录。</w:t>
            </w:r>
          </w:p>
        </w:tc>
        <w:tc>
          <w:tcPr>
            <w:tcW w:w="1083" w:type="dxa"/>
          </w:tcPr>
          <w:p>
            <w:pPr>
              <w:spacing w:line="240" w:lineRule="auto"/>
              <w:jc w:val="center"/>
              <w:rPr>
                <w:sz w:val="20"/>
              </w:rPr>
            </w:pPr>
            <w:r>
              <w:rPr>
                <w:rFonts w:hint="eastAsia"/>
                <w:sz w:val="20"/>
              </w:rPr>
              <w:t>高风险</w:t>
            </w:r>
          </w:p>
        </w:tc>
        <w:tc>
          <w:tcPr>
            <w:tcW w:w="2470" w:type="dxa"/>
          </w:tcPr>
          <w:p>
            <w:pPr>
              <w:spacing w:line="240" w:lineRule="auto"/>
              <w:jc w:val="center"/>
              <w:rPr>
                <w:rFonts w:hint="eastAsia"/>
                <w:sz w:val="20"/>
                <w:lang w:eastAsia="zh-CN"/>
              </w:rPr>
            </w:pPr>
            <w:r>
              <w:rPr>
                <w:rFonts w:hint="eastAsia"/>
                <w:sz w:val="20"/>
                <w:lang w:val="en-US" w:eastAsia="zh-CN"/>
              </w:rPr>
              <w:t>金蝶中间件有</w:t>
            </w:r>
            <w:r>
              <w:rPr>
                <w:rFonts w:hint="eastAsia"/>
                <w:sz w:val="20"/>
              </w:rPr>
              <w:t>定期对中间件的配置文件进行备份</w:t>
            </w:r>
            <w:r>
              <w:rPr>
                <w:rFonts w:hint="eastAsia"/>
                <w:sz w:val="20"/>
                <w:lang w:eastAsia="zh-CN"/>
              </w:rPr>
              <w:t>。</w:t>
            </w:r>
          </w:p>
          <w:p>
            <w:pPr>
              <w:numPr>
                <w:ilvl w:val="0"/>
                <w:numId w:val="5"/>
              </w:numPr>
              <w:spacing w:line="240" w:lineRule="auto"/>
              <w:jc w:val="center"/>
            </w:pPr>
            <w:r>
              <w:rPr>
                <w:rFonts w:hint="eastAsia"/>
                <w:sz w:val="20"/>
                <w:lang w:val="en-US" w:eastAsia="zh-CN"/>
              </w:rPr>
              <w:t>使用audit（密码XXX）登录管控，点击“系统管理”，业务配置备份，可以设置备份目录和定期备份的周期</w:t>
            </w:r>
            <w:r>
              <w:drawing>
                <wp:inline distT="0" distB="0" distL="114300" distR="114300">
                  <wp:extent cx="1180465" cy="442595"/>
                  <wp:effectExtent l="0" t="0" r="698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8"/>
                          <a:stretch>
                            <a:fillRect/>
                          </a:stretch>
                        </pic:blipFill>
                        <pic:spPr>
                          <a:xfrm>
                            <a:off x="0" y="0"/>
                            <a:ext cx="1180465" cy="442595"/>
                          </a:xfrm>
                          <a:prstGeom prst="rect">
                            <a:avLst/>
                          </a:prstGeom>
                          <a:noFill/>
                          <a:ln>
                            <a:noFill/>
                          </a:ln>
                        </pic:spPr>
                      </pic:pic>
                    </a:graphicData>
                  </a:graphic>
                </wp:inline>
              </w:drawing>
            </w:r>
          </w:p>
          <w:p>
            <w:pPr>
              <w:numPr>
                <w:ilvl w:val="0"/>
                <w:numId w:val="5"/>
              </w:numPr>
              <w:spacing w:line="240" w:lineRule="auto"/>
              <w:jc w:val="center"/>
              <w:rPr>
                <w:rFonts w:hint="eastAsia"/>
                <w:sz w:val="20"/>
                <w:lang w:val="en-US" w:eastAsia="zh-CN"/>
              </w:rPr>
            </w:pPr>
            <w:r>
              <w:rPr>
                <w:rFonts w:hint="eastAsia"/>
                <w:sz w:val="20"/>
                <w:lang w:val="en-US" w:eastAsia="zh-CN"/>
              </w:rPr>
              <w:t>可以定期开展备份数据的恢复。</w:t>
            </w:r>
          </w:p>
          <w:p>
            <w:pPr>
              <w:numPr>
                <w:ilvl w:val="0"/>
                <w:numId w:val="0"/>
              </w:numPr>
              <w:spacing w:line="240" w:lineRule="auto"/>
              <w:jc w:val="both"/>
              <w:rPr>
                <w:rFonts w:hint="eastAsia"/>
                <w:sz w:val="20"/>
                <w:lang w:val="en-US" w:eastAsia="zh-CN"/>
              </w:rPr>
            </w:pPr>
            <w:r>
              <w:rPr>
                <w:rFonts w:hint="eastAsia"/>
                <w:sz w:val="20"/>
                <w:lang w:val="en-US" w:eastAsia="zh-CN"/>
              </w:rPr>
              <w:t>具体操作：1.先将原来金蝶服务停止</w:t>
            </w:r>
          </w:p>
          <w:p>
            <w:pPr>
              <w:numPr>
                <w:ilvl w:val="0"/>
                <w:numId w:val="0"/>
              </w:numPr>
              <w:spacing w:line="240" w:lineRule="auto"/>
              <w:ind w:leftChars="0"/>
              <w:jc w:val="both"/>
              <w:rPr>
                <w:rFonts w:hint="eastAsia"/>
                <w:sz w:val="20"/>
                <w:lang w:val="en-US" w:eastAsia="zh-CN"/>
              </w:rPr>
            </w:pPr>
            <w:r>
              <w:rPr>
                <w:rFonts w:hint="eastAsia"/>
                <w:sz w:val="20"/>
                <w:lang w:val="en-US" w:eastAsia="zh-CN"/>
              </w:rPr>
              <w:t>2.${APUSIC_HOME}/domains/mydomain/config目录备份一下，比如重命名为config-bak</w:t>
            </w:r>
          </w:p>
          <w:p>
            <w:pPr>
              <w:numPr>
                <w:ilvl w:val="0"/>
                <w:numId w:val="0"/>
              </w:numPr>
              <w:spacing w:line="240" w:lineRule="auto"/>
              <w:jc w:val="both"/>
              <w:rPr>
                <w:rFonts w:hint="default"/>
                <w:lang w:val="en-US" w:eastAsia="zh-CN"/>
              </w:rPr>
            </w:pPr>
            <w:r>
              <w:rPr>
                <w:rFonts w:hint="eastAsia"/>
                <w:sz w:val="20"/>
                <w:lang w:val="en-US" w:eastAsia="zh-CN"/>
              </w:rPr>
              <w:t>3.然后将备份目录/opt/backup/config 复制到${APUSIC_HOME}/domains/mydomain目录，然后重启金蝶服务验证恢复数据的可用性</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A4235D"/>
    <w:multiLevelType w:val="singleLevel"/>
    <w:tmpl w:val="C9A4235D"/>
    <w:lvl w:ilvl="0" w:tentative="0">
      <w:start w:val="1"/>
      <w:numFmt w:val="decimal"/>
      <w:suff w:val="nothing"/>
      <w:lvlText w:val="%1）"/>
      <w:lvlJc w:val="left"/>
    </w:lvl>
  </w:abstractNum>
  <w:abstractNum w:abstractNumId="1">
    <w:nsid w:val="E5F213E5"/>
    <w:multiLevelType w:val="singleLevel"/>
    <w:tmpl w:val="E5F213E5"/>
    <w:lvl w:ilvl="0" w:tentative="0">
      <w:start w:val="1"/>
      <w:numFmt w:val="decimal"/>
      <w:suff w:val="nothing"/>
      <w:lvlText w:val="%1）"/>
      <w:lvlJc w:val="left"/>
    </w:lvl>
  </w:abstractNum>
  <w:abstractNum w:abstractNumId="2">
    <w:nsid w:val="171F2634"/>
    <w:multiLevelType w:val="singleLevel"/>
    <w:tmpl w:val="171F2634"/>
    <w:lvl w:ilvl="0" w:tentative="0">
      <w:start w:val="1"/>
      <w:numFmt w:val="decimal"/>
      <w:suff w:val="nothing"/>
      <w:lvlText w:val="%1）"/>
      <w:lvlJc w:val="left"/>
    </w:lvl>
  </w:abstractNum>
  <w:abstractNum w:abstractNumId="3">
    <w:nsid w:val="50E103AA"/>
    <w:multiLevelType w:val="multilevel"/>
    <w:tmpl w:val="50E103A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EB919C8"/>
    <w:multiLevelType w:val="multilevel"/>
    <w:tmpl w:val="5EB919C8"/>
    <w:lvl w:ilvl="0" w:tentative="0">
      <w:start w:val="1"/>
      <w:numFmt w:val="upperLetter"/>
      <w:pStyle w:val="8"/>
      <w:lvlText w:val="附录%1"/>
      <w:lvlJc w:val="left"/>
      <w:pPr>
        <w:ind w:left="425" w:hanging="425"/>
      </w:pPr>
      <w:rPr>
        <w:rFonts w:hint="default" w:ascii="Times New Roman" w:hAnsi="Times New Roman" w:eastAsia="黑体"/>
        <w:b/>
        <w:i w:val="0"/>
        <w:sz w:val="32"/>
      </w:rPr>
    </w:lvl>
    <w:lvl w:ilvl="1" w:tentative="0">
      <w:start w:val="1"/>
      <w:numFmt w:val="decimal"/>
      <w:lvlText w:val="%1.%2"/>
      <w:lvlJc w:val="left"/>
      <w:pPr>
        <w:ind w:left="992" w:hanging="567"/>
      </w:pPr>
      <w:rPr>
        <w:rFonts w:hint="default" w:ascii="Times New Roman" w:hAnsi="Times New Roman" w:eastAsia="黑体"/>
        <w:b/>
        <w:i w:val="0"/>
        <w:sz w:val="28"/>
      </w:rPr>
    </w:lvl>
    <w:lvl w:ilvl="2" w:tentative="0">
      <w:start w:val="1"/>
      <w:numFmt w:val="decimal"/>
      <w:pStyle w:val="10"/>
      <w:lvlText w:val="%1.%2.%3"/>
      <w:lvlJc w:val="left"/>
      <w:pPr>
        <w:ind w:left="1418" w:hanging="567"/>
      </w:pPr>
      <w:rPr>
        <w:rFonts w:hint="default" w:ascii="Times New Roman" w:hAnsi="Times New Roman" w:eastAsia="黑体"/>
        <w:b/>
        <w:i w:val="0"/>
        <w:sz w:val="28"/>
      </w:rPr>
    </w:lvl>
    <w:lvl w:ilvl="3" w:tentative="0">
      <w:start w:val="1"/>
      <w:numFmt w:val="decimal"/>
      <w:pStyle w:val="11"/>
      <w:lvlText w:val="%1.%2.%3.%4"/>
      <w:lvlJc w:val="left"/>
      <w:pPr>
        <w:ind w:left="1984" w:hanging="708"/>
      </w:pPr>
      <w:rPr>
        <w:rFonts w:hint="default" w:ascii="Times New Roman" w:hAnsi="Times New Roman" w:eastAsia="黑体"/>
        <w:b/>
        <w:i w:val="0"/>
        <w:sz w:val="28"/>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4"/>
    <w:lvlOverride w:ilvl="1">
      <w:lvl w:ilvl="1" w:tentative="1">
        <w:start w:val="1"/>
        <w:numFmt w:val="decimal"/>
        <w:pStyle w:val="9"/>
        <w:lvlText w:val="%1.%2"/>
        <w:lvlJc w:val="left"/>
        <w:pPr>
          <w:ind w:left="992" w:hanging="567"/>
        </w:pPr>
        <w:rPr>
          <w:rFonts w:hint="default" w:ascii="Times New Roman" w:hAnsi="Times New Roman" w:eastAsia="黑体"/>
          <w:b/>
          <w:i w:val="0"/>
          <w:sz w:val="28"/>
        </w:rPr>
      </w:lvl>
    </w:lvlOverride>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011"/>
    <w:rsid w:val="001426B5"/>
    <w:rsid w:val="006C34C9"/>
    <w:rsid w:val="00843CFB"/>
    <w:rsid w:val="009263D4"/>
    <w:rsid w:val="00DB1011"/>
    <w:rsid w:val="01B31EE8"/>
    <w:rsid w:val="020755F1"/>
    <w:rsid w:val="02450FF1"/>
    <w:rsid w:val="0338794B"/>
    <w:rsid w:val="03644FF4"/>
    <w:rsid w:val="03920E83"/>
    <w:rsid w:val="03CC4B79"/>
    <w:rsid w:val="045A6EE5"/>
    <w:rsid w:val="046F2386"/>
    <w:rsid w:val="04B014D1"/>
    <w:rsid w:val="05283756"/>
    <w:rsid w:val="06E15DE8"/>
    <w:rsid w:val="072E6EF1"/>
    <w:rsid w:val="076E28F2"/>
    <w:rsid w:val="082952DF"/>
    <w:rsid w:val="08944F29"/>
    <w:rsid w:val="08AA4AA5"/>
    <w:rsid w:val="09C932D2"/>
    <w:rsid w:val="0C19029C"/>
    <w:rsid w:val="0D090234"/>
    <w:rsid w:val="0D8A4C44"/>
    <w:rsid w:val="0DB67C81"/>
    <w:rsid w:val="0F0F7EEE"/>
    <w:rsid w:val="10B555D0"/>
    <w:rsid w:val="129C26B6"/>
    <w:rsid w:val="12AD5A0D"/>
    <w:rsid w:val="12F23608"/>
    <w:rsid w:val="1408718C"/>
    <w:rsid w:val="155F15DA"/>
    <w:rsid w:val="15EA61B9"/>
    <w:rsid w:val="16016628"/>
    <w:rsid w:val="1725327F"/>
    <w:rsid w:val="174F186B"/>
    <w:rsid w:val="17735008"/>
    <w:rsid w:val="183B20CD"/>
    <w:rsid w:val="1A1B03E9"/>
    <w:rsid w:val="1A6F603B"/>
    <w:rsid w:val="1B550057"/>
    <w:rsid w:val="1BE25DB3"/>
    <w:rsid w:val="1C7A473E"/>
    <w:rsid w:val="1E5779D8"/>
    <w:rsid w:val="201D103B"/>
    <w:rsid w:val="227C17B6"/>
    <w:rsid w:val="228C6730"/>
    <w:rsid w:val="230D71EF"/>
    <w:rsid w:val="237C427E"/>
    <w:rsid w:val="24CA6051"/>
    <w:rsid w:val="253E15AF"/>
    <w:rsid w:val="265A2AF6"/>
    <w:rsid w:val="26DA07D0"/>
    <w:rsid w:val="26EC245E"/>
    <w:rsid w:val="2A4B4870"/>
    <w:rsid w:val="2AE20637"/>
    <w:rsid w:val="2CCB7AAA"/>
    <w:rsid w:val="2E77441B"/>
    <w:rsid w:val="2FA42358"/>
    <w:rsid w:val="32BE217F"/>
    <w:rsid w:val="33310FBB"/>
    <w:rsid w:val="33FE4F0A"/>
    <w:rsid w:val="34A81219"/>
    <w:rsid w:val="35245295"/>
    <w:rsid w:val="35601BFD"/>
    <w:rsid w:val="367F5DB0"/>
    <w:rsid w:val="378339B2"/>
    <w:rsid w:val="38707F34"/>
    <w:rsid w:val="38B60FFE"/>
    <w:rsid w:val="39EE1F27"/>
    <w:rsid w:val="3A751AFF"/>
    <w:rsid w:val="3AA57C95"/>
    <w:rsid w:val="3C8A2EE8"/>
    <w:rsid w:val="3CB207F3"/>
    <w:rsid w:val="3CB720A7"/>
    <w:rsid w:val="3D216749"/>
    <w:rsid w:val="3D5D53C1"/>
    <w:rsid w:val="3DDE70A3"/>
    <w:rsid w:val="3E3B12C4"/>
    <w:rsid w:val="3F7E2906"/>
    <w:rsid w:val="40692115"/>
    <w:rsid w:val="43084F72"/>
    <w:rsid w:val="430F46C6"/>
    <w:rsid w:val="43453EA1"/>
    <w:rsid w:val="43996085"/>
    <w:rsid w:val="44633DB7"/>
    <w:rsid w:val="45094B86"/>
    <w:rsid w:val="45537CF7"/>
    <w:rsid w:val="45B17DA4"/>
    <w:rsid w:val="45DE51B2"/>
    <w:rsid w:val="47571D1D"/>
    <w:rsid w:val="48C01554"/>
    <w:rsid w:val="48DF29D1"/>
    <w:rsid w:val="49AF1FA0"/>
    <w:rsid w:val="49F3325E"/>
    <w:rsid w:val="4A263F47"/>
    <w:rsid w:val="4B240C4D"/>
    <w:rsid w:val="4BA947A5"/>
    <w:rsid w:val="4BD27583"/>
    <w:rsid w:val="4C09607D"/>
    <w:rsid w:val="4C38444F"/>
    <w:rsid w:val="4CCC7487"/>
    <w:rsid w:val="4D6E43FA"/>
    <w:rsid w:val="4D9F349B"/>
    <w:rsid w:val="4F503293"/>
    <w:rsid w:val="508E0B51"/>
    <w:rsid w:val="51045E4D"/>
    <w:rsid w:val="517B11DD"/>
    <w:rsid w:val="51CD56C1"/>
    <w:rsid w:val="53FF2541"/>
    <w:rsid w:val="54C614F2"/>
    <w:rsid w:val="56092882"/>
    <w:rsid w:val="561364B8"/>
    <w:rsid w:val="56D25F28"/>
    <w:rsid w:val="57977EE2"/>
    <w:rsid w:val="586C0C3E"/>
    <w:rsid w:val="58B22DFC"/>
    <w:rsid w:val="58CE3FDE"/>
    <w:rsid w:val="594030BE"/>
    <w:rsid w:val="5C7448CF"/>
    <w:rsid w:val="5F842088"/>
    <w:rsid w:val="5FDA217D"/>
    <w:rsid w:val="603A6B5C"/>
    <w:rsid w:val="60A96125"/>
    <w:rsid w:val="616800A5"/>
    <w:rsid w:val="62487446"/>
    <w:rsid w:val="624A1544"/>
    <w:rsid w:val="62694A12"/>
    <w:rsid w:val="66301DFE"/>
    <w:rsid w:val="664E327B"/>
    <w:rsid w:val="665B79DF"/>
    <w:rsid w:val="66AE385B"/>
    <w:rsid w:val="67F571BB"/>
    <w:rsid w:val="681A6ABE"/>
    <w:rsid w:val="684F1A0D"/>
    <w:rsid w:val="68B723CA"/>
    <w:rsid w:val="69196057"/>
    <w:rsid w:val="694F3A6B"/>
    <w:rsid w:val="6A7F2F90"/>
    <w:rsid w:val="6AF31F56"/>
    <w:rsid w:val="6D2C257C"/>
    <w:rsid w:val="6DDB74A2"/>
    <w:rsid w:val="716476BE"/>
    <w:rsid w:val="71FC559B"/>
    <w:rsid w:val="73063717"/>
    <w:rsid w:val="735E0954"/>
    <w:rsid w:val="7443079A"/>
    <w:rsid w:val="749C3105"/>
    <w:rsid w:val="74CF0588"/>
    <w:rsid w:val="770832A1"/>
    <w:rsid w:val="774C18B3"/>
    <w:rsid w:val="78260BEC"/>
    <w:rsid w:val="78345A70"/>
    <w:rsid w:val="7A0E2131"/>
    <w:rsid w:val="7A173420"/>
    <w:rsid w:val="7A272E94"/>
    <w:rsid w:val="7B990D77"/>
    <w:rsid w:val="7BFF720E"/>
    <w:rsid w:val="7C2F34B4"/>
    <w:rsid w:val="7E4E5D95"/>
    <w:rsid w:val="7E616206"/>
    <w:rsid w:val="7EAA6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华文仿宋" w:cstheme="minorBidi"/>
      <w:kern w:val="2"/>
      <w:sz w:val="24"/>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customStyle="1" w:styleId="8">
    <w:name w:val="附录一级标题"/>
    <w:basedOn w:val="1"/>
    <w:next w:val="1"/>
    <w:qFormat/>
    <w:uiPriority w:val="0"/>
    <w:pPr>
      <w:numPr>
        <w:ilvl w:val="0"/>
        <w:numId w:val="1"/>
      </w:numPr>
      <w:tabs>
        <w:tab w:val="left" w:pos="1276"/>
      </w:tabs>
      <w:jc w:val="left"/>
      <w:outlineLvl w:val="0"/>
    </w:pPr>
    <w:rPr>
      <w:rFonts w:eastAsia="黑体"/>
      <w:b/>
      <w:sz w:val="32"/>
    </w:rPr>
  </w:style>
  <w:style w:type="paragraph" w:customStyle="1" w:styleId="9">
    <w:name w:val="附录二级标题"/>
    <w:basedOn w:val="1"/>
    <w:next w:val="1"/>
    <w:qFormat/>
    <w:uiPriority w:val="0"/>
    <w:pPr>
      <w:numPr>
        <w:ilvl w:val="1"/>
        <w:numId w:val="1"/>
      </w:numPr>
      <w:ind w:left="851" w:hanging="851"/>
      <w:outlineLvl w:val="1"/>
    </w:pPr>
    <w:rPr>
      <w:rFonts w:eastAsia="黑体"/>
      <w:b/>
      <w:sz w:val="28"/>
    </w:rPr>
  </w:style>
  <w:style w:type="paragraph" w:customStyle="1" w:styleId="10">
    <w:name w:val="附录三级标题"/>
    <w:basedOn w:val="1"/>
    <w:next w:val="1"/>
    <w:qFormat/>
    <w:uiPriority w:val="0"/>
    <w:pPr>
      <w:numPr>
        <w:ilvl w:val="2"/>
        <w:numId w:val="1"/>
      </w:numPr>
      <w:ind w:left="567"/>
      <w:outlineLvl w:val="2"/>
    </w:pPr>
    <w:rPr>
      <w:rFonts w:eastAsia="黑体"/>
      <w:b/>
      <w:sz w:val="28"/>
    </w:rPr>
  </w:style>
  <w:style w:type="paragraph" w:customStyle="1" w:styleId="11">
    <w:name w:val="附录四级标题"/>
    <w:basedOn w:val="1"/>
    <w:next w:val="1"/>
    <w:link w:val="12"/>
    <w:qFormat/>
    <w:uiPriority w:val="0"/>
    <w:pPr>
      <w:numPr>
        <w:ilvl w:val="3"/>
        <w:numId w:val="1"/>
      </w:numPr>
      <w:outlineLvl w:val="3"/>
    </w:pPr>
    <w:rPr>
      <w:rFonts w:eastAsia="黑体"/>
      <w:b/>
      <w:sz w:val="28"/>
    </w:rPr>
  </w:style>
  <w:style w:type="character" w:customStyle="1" w:styleId="12">
    <w:name w:val="附录四级标题 字符"/>
    <w:basedOn w:val="5"/>
    <w:link w:val="11"/>
    <w:qFormat/>
    <w:uiPriority w:val="0"/>
    <w:rPr>
      <w:rFonts w:ascii="Times New Roman" w:hAnsi="Times New Roman" w:eastAsia="黑体"/>
      <w:b/>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608</Words>
  <Characters>3472</Characters>
  <Lines>28</Lines>
  <Paragraphs>8</Paragraphs>
  <TotalTime>52</TotalTime>
  <ScaleCrop>false</ScaleCrop>
  <LinksUpToDate>false</LinksUpToDate>
  <CharactersWithSpaces>4072</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2021-11-03T02:41:00Z</dcterms:created>
  <dc:creator>学恒 邬</dc:creator>
  <cp:lastModifiedBy>86188</cp:lastModifiedBy>
  <dcterms:modified xsi:type="dcterms:W3CDTF">2021-11-05T07:39:03Z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